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b/>
          <w:sz w:val="84"/>
          <w:szCs w:val="84"/>
        </w:rPr>
      </w:pPr>
    </w:p>
    <w:p>
      <w:pPr>
        <w:spacing w:line="480" w:lineRule="auto"/>
        <w:jc w:val="center"/>
        <w:rPr>
          <w:b/>
          <w:sz w:val="84"/>
          <w:szCs w:val="84"/>
        </w:rPr>
      </w:pPr>
      <w:r>
        <w:rPr>
          <w:rFonts w:hint="eastAsia"/>
          <w:b/>
          <w:sz w:val="84"/>
          <w:szCs w:val="84"/>
        </w:rPr>
        <w:t>招标文件</w:t>
      </w:r>
    </w:p>
    <w:p>
      <w:pPr>
        <w:spacing w:line="480" w:lineRule="auto"/>
        <w:rPr>
          <w:rFonts w:ascii="楷体_GB2312" w:eastAsia="楷体_GB2312"/>
          <w:sz w:val="32"/>
          <w:szCs w:val="32"/>
        </w:rPr>
      </w:pPr>
    </w:p>
    <w:p>
      <w:pPr>
        <w:spacing w:line="480" w:lineRule="auto"/>
        <w:jc w:val="left"/>
        <w:rPr>
          <w:rFonts w:ascii="楷体_GB2312" w:eastAsia="楷体_GB2312"/>
          <w:sz w:val="30"/>
          <w:szCs w:val="30"/>
        </w:rPr>
      </w:pPr>
      <w:r>
        <w:rPr>
          <w:rFonts w:hint="eastAsia" w:ascii="楷体_GB2312" w:eastAsia="楷体_GB2312"/>
          <w:sz w:val="30"/>
          <w:szCs w:val="30"/>
        </w:rPr>
        <w:t>项目名称：</w:t>
      </w:r>
      <w:r>
        <w:rPr>
          <w:rFonts w:hint="eastAsia" w:ascii="楷体_GB2312" w:eastAsia="楷体_GB2312"/>
          <w:sz w:val="30"/>
          <w:szCs w:val="30"/>
          <w:lang w:eastAsia="zh-CN"/>
        </w:rPr>
        <w:t>宝应产业园</w:t>
      </w:r>
      <w:r>
        <w:rPr>
          <w:rFonts w:hint="eastAsia" w:ascii="楷体_GB2312" w:eastAsia="楷体_GB2312"/>
          <w:sz w:val="30"/>
          <w:szCs w:val="30"/>
        </w:rPr>
        <w:t>项目</w:t>
      </w:r>
    </w:p>
    <w:p>
      <w:pPr>
        <w:spacing w:line="480" w:lineRule="auto"/>
        <w:ind w:left="1600" w:hanging="1600" w:hangingChars="500"/>
        <w:jc w:val="left"/>
        <w:rPr>
          <w:rFonts w:ascii="楷体_GB2312" w:eastAsia="楷体_GB2312"/>
          <w:sz w:val="32"/>
          <w:szCs w:val="32"/>
        </w:rPr>
      </w:pPr>
      <w:r>
        <w:rPr>
          <w:rFonts w:hint="eastAsia" w:ascii="楷体_GB2312" w:eastAsia="楷体_GB2312"/>
          <w:sz w:val="32"/>
          <w:szCs w:val="32"/>
        </w:rPr>
        <w:t>标书编号：</w:t>
      </w:r>
    </w:p>
    <w:p>
      <w:pPr>
        <w:tabs>
          <w:tab w:val="left" w:pos="5580"/>
        </w:tabs>
        <w:spacing w:line="480" w:lineRule="auto"/>
        <w:jc w:val="left"/>
        <w:rPr>
          <w:rFonts w:ascii="黑体" w:eastAsia="黑体"/>
          <w:sz w:val="44"/>
          <w:szCs w:val="44"/>
        </w:rPr>
      </w:pPr>
      <w:r>
        <w:rPr>
          <w:rFonts w:ascii="黑体" w:eastAsia="黑体"/>
          <w:sz w:val="44"/>
          <w:szCs w:val="44"/>
        </w:rPr>
        <w:tab/>
      </w:r>
    </w:p>
    <w:p>
      <w:pPr>
        <w:spacing w:line="480" w:lineRule="auto"/>
        <w:jc w:val="center"/>
        <w:rPr>
          <w:rFonts w:ascii="黑体" w:eastAsia="黑体"/>
          <w:sz w:val="30"/>
          <w:szCs w:val="30"/>
        </w:rPr>
      </w:pPr>
    </w:p>
    <w:p>
      <w:pPr>
        <w:spacing w:line="480" w:lineRule="auto"/>
        <w:jc w:val="center"/>
        <w:rPr>
          <w:rFonts w:hint="eastAsia" w:ascii="楷体_GB2312" w:eastAsia="楷体_GB2312"/>
          <w:sz w:val="30"/>
          <w:szCs w:val="30"/>
          <w:lang w:eastAsia="zh-CN"/>
        </w:rPr>
      </w:pPr>
      <w:r>
        <w:rPr>
          <w:rFonts w:hint="eastAsia" w:ascii="楷体_GB2312" w:eastAsia="楷体_GB2312"/>
          <w:sz w:val="30"/>
          <w:szCs w:val="30"/>
          <w:lang w:eastAsia="zh-CN"/>
        </w:rPr>
        <w:t>辰胜集成科技股份有限公司</w:t>
      </w:r>
    </w:p>
    <w:p>
      <w:pPr>
        <w:spacing w:line="480" w:lineRule="auto"/>
        <w:jc w:val="center"/>
        <w:rPr>
          <w:sz w:val="44"/>
        </w:rPr>
      </w:pPr>
      <w:r>
        <w:rPr>
          <w:rFonts w:hint="eastAsia" w:ascii="楷体_GB2312" w:eastAsia="楷体_GB2312"/>
          <w:sz w:val="30"/>
          <w:szCs w:val="30"/>
        </w:rPr>
        <w:t>二〇</w:t>
      </w:r>
      <w:r>
        <w:rPr>
          <w:rFonts w:hint="eastAsia" w:ascii="楷体_GB2312" w:eastAsia="楷体_GB2312"/>
          <w:sz w:val="30"/>
          <w:szCs w:val="30"/>
          <w:lang w:val="en-US" w:eastAsia="zh-CN"/>
        </w:rPr>
        <w:t>二五</w:t>
      </w:r>
      <w:r>
        <w:rPr>
          <w:rFonts w:hint="eastAsia" w:ascii="楷体_GB2312" w:eastAsia="楷体_GB2312"/>
          <w:sz w:val="30"/>
          <w:szCs w:val="30"/>
        </w:rPr>
        <w:t>年</w:t>
      </w:r>
      <w:r>
        <w:rPr>
          <w:rFonts w:hint="eastAsia" w:ascii="楷体_GB2312" w:eastAsia="楷体_GB2312"/>
          <w:sz w:val="30"/>
          <w:szCs w:val="30"/>
          <w:lang w:eastAsia="zh-CN"/>
        </w:rPr>
        <w:t>十二</w:t>
      </w:r>
      <w:r>
        <w:rPr>
          <w:rFonts w:hint="eastAsia" w:ascii="楷体_GB2312" w:eastAsia="楷体_GB2312"/>
          <w:sz w:val="30"/>
          <w:szCs w:val="30"/>
          <w:highlight w:val="none"/>
        </w:rPr>
        <w:t>月</w:t>
      </w:r>
      <w:r>
        <w:rPr>
          <w:rFonts w:hint="eastAsia" w:ascii="楷体_GB2312" w:eastAsia="楷体_GB2312"/>
          <w:sz w:val="30"/>
          <w:szCs w:val="30"/>
          <w:highlight w:val="none"/>
          <w:lang w:eastAsia="zh-CN"/>
        </w:rPr>
        <w:t>三</w:t>
      </w:r>
      <w:r>
        <w:rPr>
          <w:rFonts w:hint="eastAsia" w:ascii="楷体_GB2312" w:eastAsia="楷体_GB2312"/>
          <w:sz w:val="30"/>
          <w:szCs w:val="30"/>
          <w:highlight w:val="none"/>
        </w:rPr>
        <w:t>日</w:t>
      </w:r>
      <w:r>
        <w:rPr>
          <w:b/>
          <w:sz w:val="30"/>
          <w:szCs w:val="30"/>
          <w:highlight w:val="none"/>
        </w:rPr>
        <w:br w:type="page"/>
      </w:r>
      <w:r>
        <w:rPr>
          <w:rFonts w:hint="eastAsia"/>
          <w:b/>
          <w:sz w:val="44"/>
        </w:rPr>
        <w:t>招标文件目录</w:t>
      </w:r>
    </w:p>
    <w:p>
      <w:pPr>
        <w:spacing w:line="480" w:lineRule="auto"/>
        <w:rPr>
          <w:b/>
          <w:sz w:val="24"/>
        </w:rPr>
      </w:pPr>
    </w:p>
    <w:p>
      <w:pPr>
        <w:spacing w:line="480" w:lineRule="auto"/>
        <w:rPr>
          <w:b/>
          <w:sz w:val="24"/>
        </w:rPr>
      </w:pPr>
    </w:p>
    <w:p>
      <w:pPr>
        <w:pStyle w:val="24"/>
        <w:spacing w:line="480" w:lineRule="auto"/>
        <w:rPr>
          <w:b w:val="0"/>
          <w:sz w:val="21"/>
          <w:szCs w:val="22"/>
        </w:rPr>
      </w:pPr>
      <w:r>
        <w:rPr>
          <w:b w:val="0"/>
          <w:sz w:val="36"/>
        </w:rPr>
        <w:fldChar w:fldCharType="begin"/>
      </w:r>
      <w:r>
        <w:rPr>
          <w:rFonts w:hint="eastAsia"/>
          <w:b w:val="0"/>
          <w:sz w:val="36"/>
        </w:rPr>
        <w:instrText xml:space="preserve">TOC \o "1-1" \h \z \u</w:instrText>
      </w:r>
      <w:r>
        <w:rPr>
          <w:b w:val="0"/>
          <w:sz w:val="36"/>
        </w:rPr>
        <w:fldChar w:fldCharType="separate"/>
      </w:r>
      <w:r>
        <w:fldChar w:fldCharType="begin"/>
      </w:r>
      <w:r>
        <w:instrText xml:space="preserve"> HYPERLINK \l "_Toc480550234" </w:instrText>
      </w:r>
      <w:r>
        <w:fldChar w:fldCharType="separate"/>
      </w:r>
      <w:r>
        <w:rPr>
          <w:rStyle w:val="40"/>
          <w:rFonts w:hint="eastAsia"/>
          <w:b w:val="0"/>
        </w:rPr>
        <w:t>第一章投标邀请</w:t>
      </w:r>
      <w:bookmarkStart w:id="0" w:name="_Hlt480553172"/>
      <w:r>
        <w:rPr>
          <w:rStyle w:val="40"/>
          <w:rFonts w:hint="eastAsia"/>
          <w:b w:val="0"/>
        </w:rPr>
        <w:t>书</w:t>
      </w:r>
      <w:bookmarkEnd w:id="0"/>
      <w:r>
        <w:rPr>
          <w:b w:val="0"/>
        </w:rPr>
        <w:tab/>
      </w:r>
      <w:r>
        <w:rPr>
          <w:rFonts w:hint="eastAsia"/>
          <w:b w:val="0"/>
        </w:rPr>
        <w:t>3</w:t>
      </w:r>
      <w:r>
        <w:rPr>
          <w:rFonts w:hint="eastAsia"/>
          <w:b w:val="0"/>
        </w:rPr>
        <w:fldChar w:fldCharType="end"/>
      </w:r>
    </w:p>
    <w:p>
      <w:pPr>
        <w:pStyle w:val="24"/>
        <w:spacing w:line="480" w:lineRule="auto"/>
        <w:rPr>
          <w:b w:val="0"/>
          <w:sz w:val="21"/>
          <w:szCs w:val="22"/>
        </w:rPr>
      </w:pPr>
      <w:r>
        <w:fldChar w:fldCharType="begin"/>
      </w:r>
      <w:r>
        <w:instrText xml:space="preserve"> HYPERLINK \l "_Toc480550235" </w:instrText>
      </w:r>
      <w:r>
        <w:fldChar w:fldCharType="separate"/>
      </w:r>
      <w:r>
        <w:rPr>
          <w:rStyle w:val="40"/>
          <w:rFonts w:hint="eastAsia" w:cs="宋体"/>
          <w:b w:val="0"/>
        </w:rPr>
        <w:t>第二章投标人须知</w:t>
      </w:r>
      <w:r>
        <w:rPr>
          <w:b w:val="0"/>
        </w:rPr>
        <w:tab/>
      </w:r>
      <w:r>
        <w:rPr>
          <w:rFonts w:hint="eastAsia"/>
          <w:b w:val="0"/>
        </w:rPr>
        <w:t>4</w:t>
      </w:r>
      <w:r>
        <w:rPr>
          <w:rFonts w:hint="eastAsia"/>
          <w:b w:val="0"/>
        </w:rPr>
        <w:fldChar w:fldCharType="end"/>
      </w:r>
    </w:p>
    <w:p>
      <w:pPr>
        <w:pStyle w:val="24"/>
        <w:spacing w:line="480" w:lineRule="auto"/>
        <w:rPr>
          <w:b w:val="0"/>
          <w:sz w:val="21"/>
          <w:szCs w:val="22"/>
        </w:rPr>
      </w:pPr>
      <w:r>
        <w:fldChar w:fldCharType="begin"/>
      </w:r>
      <w:r>
        <w:instrText xml:space="preserve"> HYPERLINK \l "_Toc480550236" </w:instrText>
      </w:r>
      <w:r>
        <w:fldChar w:fldCharType="separate"/>
      </w:r>
      <w:r>
        <w:rPr>
          <w:rStyle w:val="40"/>
          <w:rFonts w:hint="eastAsia"/>
          <w:b w:val="0"/>
        </w:rPr>
        <w:t>第三章反商业贿赂承诺函</w:t>
      </w:r>
      <w:r>
        <w:rPr>
          <w:b w:val="0"/>
        </w:rPr>
        <w:tab/>
      </w:r>
      <w:r>
        <w:rPr>
          <w:rFonts w:hint="eastAsia"/>
          <w:b w:val="0"/>
        </w:rPr>
        <w:t>8</w:t>
      </w:r>
      <w:r>
        <w:rPr>
          <w:rFonts w:hint="eastAsia"/>
          <w:b w:val="0"/>
        </w:rPr>
        <w:fldChar w:fldCharType="end"/>
      </w:r>
    </w:p>
    <w:p>
      <w:pPr>
        <w:pStyle w:val="24"/>
        <w:spacing w:line="480" w:lineRule="auto"/>
        <w:rPr>
          <w:rFonts w:hint="eastAsia" w:eastAsia="宋体"/>
          <w:b w:val="0"/>
          <w:sz w:val="21"/>
          <w:szCs w:val="22"/>
          <w:lang w:val="en-US" w:eastAsia="zh-CN"/>
        </w:rPr>
      </w:pPr>
      <w:r>
        <w:fldChar w:fldCharType="begin"/>
      </w:r>
      <w:r>
        <w:instrText xml:space="preserve"> HYPERLINK \l "_Toc480550237" </w:instrText>
      </w:r>
      <w:r>
        <w:fldChar w:fldCharType="separate"/>
      </w:r>
      <w:r>
        <w:rPr>
          <w:rStyle w:val="40"/>
          <w:rFonts w:hint="eastAsia" w:cs="宋体"/>
          <w:b w:val="0"/>
        </w:rPr>
        <w:t>第四章招标内容及</w:t>
      </w:r>
      <w:r>
        <w:rPr>
          <w:rStyle w:val="40"/>
          <w:rFonts w:hint="eastAsia" w:cs="宋体"/>
          <w:b w:val="0"/>
          <w:lang w:val="en-US" w:eastAsia="zh-CN"/>
        </w:rPr>
        <w:t>技术</w:t>
      </w:r>
      <w:r>
        <w:rPr>
          <w:rStyle w:val="40"/>
          <w:rFonts w:hint="eastAsia" w:cs="宋体"/>
          <w:b w:val="0"/>
        </w:rPr>
        <w:t>要求</w:t>
      </w:r>
      <w:r>
        <w:rPr>
          <w:b w:val="0"/>
        </w:rPr>
        <w:tab/>
      </w:r>
      <w:r>
        <w:rPr>
          <w:rFonts w:hint="eastAsia"/>
          <w:b w:val="0"/>
        </w:rPr>
        <w:t>1</w:t>
      </w:r>
      <w:r>
        <w:rPr>
          <w:rFonts w:hint="eastAsia"/>
          <w:b w:val="0"/>
        </w:rPr>
        <w:fldChar w:fldCharType="end"/>
      </w:r>
      <w:r>
        <w:rPr>
          <w:rFonts w:hint="eastAsia"/>
          <w:b w:val="0"/>
          <w:lang w:val="en-US" w:eastAsia="zh-CN"/>
        </w:rPr>
        <w:t>0</w:t>
      </w:r>
    </w:p>
    <w:p>
      <w:pPr>
        <w:pStyle w:val="24"/>
        <w:spacing w:line="480" w:lineRule="auto"/>
        <w:rPr>
          <w:rFonts w:hint="eastAsia" w:eastAsia="宋体"/>
          <w:b w:val="0"/>
          <w:sz w:val="21"/>
          <w:szCs w:val="22"/>
          <w:lang w:val="en-US" w:eastAsia="zh-CN"/>
        </w:rPr>
      </w:pPr>
      <w:r>
        <w:fldChar w:fldCharType="begin"/>
      </w:r>
      <w:r>
        <w:instrText xml:space="preserve"> HYPERLINK \l "_Toc480550238" </w:instrText>
      </w:r>
      <w:r>
        <w:fldChar w:fldCharType="separate"/>
      </w:r>
      <w:r>
        <w:rPr>
          <w:rStyle w:val="40"/>
          <w:rFonts w:hint="eastAsia" w:cs="宋体"/>
          <w:b w:val="0"/>
        </w:rPr>
        <w:t>第五章合同模板</w:t>
      </w:r>
      <w:r>
        <w:rPr>
          <w:b w:val="0"/>
        </w:rPr>
        <w:tab/>
      </w:r>
      <w:r>
        <w:rPr>
          <w:rFonts w:hint="eastAsia"/>
          <w:b w:val="0"/>
        </w:rPr>
        <w:t>1</w:t>
      </w:r>
      <w:r>
        <w:rPr>
          <w:rFonts w:hint="eastAsia"/>
          <w:b w:val="0"/>
        </w:rPr>
        <w:fldChar w:fldCharType="end"/>
      </w:r>
      <w:r>
        <w:rPr>
          <w:rFonts w:hint="eastAsia"/>
          <w:b w:val="0"/>
          <w:lang w:val="en-US" w:eastAsia="zh-CN"/>
        </w:rPr>
        <w:t>5</w:t>
      </w:r>
    </w:p>
    <w:p>
      <w:pPr>
        <w:pStyle w:val="24"/>
        <w:spacing w:line="480" w:lineRule="auto"/>
        <w:rPr>
          <w:rFonts w:hint="default" w:eastAsia="宋体"/>
          <w:b w:val="0"/>
          <w:sz w:val="21"/>
          <w:szCs w:val="22"/>
          <w:lang w:val="en-US" w:eastAsia="zh-CN"/>
        </w:rPr>
      </w:pPr>
      <w:r>
        <w:fldChar w:fldCharType="begin"/>
      </w:r>
      <w:r>
        <w:instrText xml:space="preserve"> HYPERLINK \l "_Toc480550239" </w:instrText>
      </w:r>
      <w:r>
        <w:fldChar w:fldCharType="separate"/>
      </w:r>
      <w:r>
        <w:rPr>
          <w:rStyle w:val="40"/>
          <w:rFonts w:hint="eastAsia" w:cs="宋体"/>
          <w:b w:val="0"/>
        </w:rPr>
        <w:t>第六章附件</w:t>
      </w:r>
      <w:r>
        <w:rPr>
          <w:b w:val="0"/>
        </w:rPr>
        <w:tab/>
      </w:r>
      <w:r>
        <w:rPr>
          <w:rFonts w:hint="eastAsia"/>
          <w:b w:val="0"/>
        </w:rPr>
        <w:t>1</w:t>
      </w:r>
      <w:r>
        <w:rPr>
          <w:rFonts w:hint="eastAsia"/>
          <w:b w:val="0"/>
        </w:rPr>
        <w:fldChar w:fldCharType="end"/>
      </w:r>
      <w:r>
        <w:rPr>
          <w:rFonts w:hint="eastAsia"/>
          <w:b w:val="0"/>
          <w:lang w:val="en-US" w:eastAsia="zh-CN"/>
        </w:rPr>
        <w:t>7</w:t>
      </w:r>
    </w:p>
    <w:p>
      <w:pPr>
        <w:spacing w:line="480" w:lineRule="auto"/>
        <w:rPr>
          <w:sz w:val="24"/>
        </w:rPr>
      </w:pPr>
      <w:r>
        <w:rPr>
          <w:rFonts w:ascii="宋体" w:hAnsi="宋体"/>
          <w:sz w:val="36"/>
        </w:rPr>
        <w:fldChar w:fldCharType="end"/>
      </w:r>
    </w:p>
    <w:p>
      <w:pPr>
        <w:spacing w:line="480" w:lineRule="auto"/>
        <w:jc w:val="center"/>
        <w:outlineLvl w:val="0"/>
        <w:rPr>
          <w:rFonts w:ascii="黑体" w:hAnsi="宋体" w:eastAsia="黑体"/>
          <w:b/>
          <w:sz w:val="30"/>
          <w:szCs w:val="30"/>
        </w:rPr>
      </w:pPr>
      <w:r>
        <w:rPr>
          <w:rFonts w:ascii="黑体" w:hAnsi="宋体" w:eastAsia="黑体"/>
          <w:b/>
          <w:sz w:val="30"/>
          <w:szCs w:val="30"/>
        </w:rPr>
        <w:br w:type="page"/>
      </w:r>
      <w:bookmarkStart w:id="1" w:name="_Toc480550234"/>
      <w:r>
        <w:rPr>
          <w:rFonts w:hint="eastAsia" w:ascii="黑体" w:hAnsi="宋体" w:eastAsia="黑体"/>
          <w:b/>
          <w:sz w:val="30"/>
          <w:szCs w:val="30"/>
        </w:rPr>
        <w:t>第一章投标邀请书</w:t>
      </w:r>
      <w:bookmarkEnd w:id="1"/>
    </w:p>
    <w:p>
      <w:pPr>
        <w:spacing w:line="480" w:lineRule="auto"/>
        <w:ind w:firstLine="600" w:firstLineChars="250"/>
        <w:rPr>
          <w:rFonts w:ascii="宋体" w:hAnsi="宋体"/>
          <w:sz w:val="24"/>
        </w:rPr>
      </w:pPr>
    </w:p>
    <w:p>
      <w:pPr>
        <w:spacing w:line="360" w:lineRule="auto"/>
        <w:rPr>
          <w:rFonts w:ascii="宋体" w:hAnsi="宋体"/>
          <w:szCs w:val="21"/>
        </w:rPr>
      </w:pPr>
      <w:r>
        <w:rPr>
          <w:rFonts w:hint="eastAsia" w:ascii="宋体" w:hAnsi="宋体"/>
          <w:szCs w:val="21"/>
        </w:rPr>
        <w:t>各投标单位：</w:t>
      </w:r>
    </w:p>
    <w:p>
      <w:pPr>
        <w:spacing w:line="360" w:lineRule="auto"/>
        <w:ind w:firstLine="420" w:firstLineChars="200"/>
        <w:rPr>
          <w:rFonts w:hAnsi="宋体"/>
          <w:bCs/>
          <w:color w:val="000000"/>
          <w:szCs w:val="21"/>
        </w:rPr>
      </w:pPr>
      <w:r>
        <w:rPr>
          <w:rFonts w:hint="eastAsia" w:ascii="宋体" w:hAnsi="宋体"/>
          <w:szCs w:val="21"/>
          <w:lang w:eastAsia="zh-CN"/>
        </w:rPr>
        <w:t>辰胜集成科技股份有限公司</w:t>
      </w:r>
      <w:r>
        <w:rPr>
          <w:rFonts w:hint="eastAsia" w:ascii="宋体" w:hAnsi="宋体" w:cs="宋体"/>
          <w:szCs w:val="21"/>
        </w:rPr>
        <w:t>现就“</w:t>
      </w:r>
      <w:r>
        <w:rPr>
          <w:rFonts w:hint="eastAsia" w:ascii="宋体" w:hAnsi="宋体" w:eastAsia="宋体" w:cs="宋体"/>
          <w:sz w:val="21"/>
          <w:szCs w:val="21"/>
          <w:lang w:eastAsia="zh-CN"/>
        </w:rPr>
        <w:t>宝应产业园</w:t>
      </w:r>
      <w:r>
        <w:rPr>
          <w:rFonts w:hint="eastAsia" w:ascii="宋体" w:hAnsi="宋体" w:eastAsia="宋体" w:cs="宋体"/>
          <w:sz w:val="21"/>
          <w:szCs w:val="21"/>
        </w:rPr>
        <w:t>项目</w:t>
      </w:r>
      <w:r>
        <w:rPr>
          <w:rFonts w:hint="eastAsia"/>
          <w:szCs w:val="21"/>
          <w:lang w:eastAsia="zh-CN"/>
        </w:rPr>
        <w:t>等招标文件</w:t>
      </w:r>
      <w:r>
        <w:rPr>
          <w:rFonts w:hint="eastAsia" w:hAnsi="宋体"/>
          <w:bCs/>
          <w:color w:val="000000"/>
          <w:szCs w:val="21"/>
        </w:rPr>
        <w:t>”进行邀请招标，欢迎贵单位参加投标。</w:t>
      </w:r>
    </w:p>
    <w:p>
      <w:pPr>
        <w:spacing w:line="360" w:lineRule="auto"/>
        <w:ind w:firstLine="420" w:firstLineChars="200"/>
        <w:rPr>
          <w:rFonts w:hAnsi="宋体"/>
          <w:bCs/>
          <w:color w:val="000000"/>
          <w:szCs w:val="21"/>
        </w:rPr>
      </w:pPr>
      <w:r>
        <w:rPr>
          <w:rFonts w:hint="eastAsia" w:hAnsi="宋体"/>
          <w:bCs/>
          <w:color w:val="000000"/>
          <w:szCs w:val="21"/>
        </w:rPr>
        <w:t>1、</w:t>
      </w:r>
      <w:r>
        <w:rPr>
          <w:rFonts w:hint="eastAsia" w:hAnsi="宋体"/>
          <w:bCs/>
          <w:szCs w:val="21"/>
        </w:rPr>
        <w:t>投标人资格要求：</w:t>
      </w:r>
    </w:p>
    <w:p>
      <w:pPr>
        <w:spacing w:line="360" w:lineRule="auto"/>
        <w:ind w:firstLine="420" w:firstLineChars="200"/>
        <w:rPr>
          <w:rFonts w:hAnsi="宋体"/>
          <w:bCs/>
          <w:color w:val="000000"/>
          <w:szCs w:val="21"/>
        </w:rPr>
      </w:pPr>
      <w:r>
        <w:rPr>
          <w:rFonts w:hint="eastAsia" w:hAnsi="宋体"/>
          <w:bCs/>
          <w:color w:val="000000"/>
          <w:szCs w:val="21"/>
        </w:rPr>
        <w:t>1.1在中国境内注册，具有独立法人资格，能够独立完成招标文件所规定的工作。</w:t>
      </w:r>
    </w:p>
    <w:p>
      <w:pPr>
        <w:spacing w:line="360" w:lineRule="auto"/>
        <w:ind w:firstLine="420" w:firstLineChars="200"/>
        <w:rPr>
          <w:rFonts w:hAnsi="宋体"/>
          <w:bCs/>
          <w:color w:val="000000"/>
          <w:szCs w:val="21"/>
        </w:rPr>
      </w:pPr>
      <w:r>
        <w:rPr>
          <w:rFonts w:hint="eastAsia" w:hAnsi="宋体"/>
          <w:bCs/>
          <w:color w:val="000000"/>
          <w:szCs w:val="21"/>
        </w:rPr>
        <w:t>1.2工商营业执照、税务登记证、组织机构代码证齐全，具有一般纳税人资格。</w:t>
      </w:r>
    </w:p>
    <w:p>
      <w:pPr>
        <w:spacing w:line="360" w:lineRule="auto"/>
        <w:ind w:firstLine="420" w:firstLineChars="200"/>
        <w:rPr>
          <w:rFonts w:hAnsi="宋体"/>
          <w:bCs/>
          <w:color w:val="000000"/>
          <w:szCs w:val="21"/>
        </w:rPr>
      </w:pPr>
      <w:r>
        <w:rPr>
          <w:rFonts w:hint="eastAsia" w:hAnsi="宋体"/>
          <w:bCs/>
          <w:color w:val="000000"/>
          <w:szCs w:val="21"/>
        </w:rPr>
        <w:t>1.3投标人注册资金: 投标人注册资金:人民币</w:t>
      </w:r>
      <w:r>
        <w:rPr>
          <w:rFonts w:hint="eastAsia" w:hAnsi="宋体"/>
          <w:bCs/>
          <w:color w:val="000000"/>
          <w:szCs w:val="21"/>
          <w:lang w:val="en-US" w:eastAsia="zh-CN"/>
        </w:rPr>
        <w:t>10</w:t>
      </w:r>
      <w:r>
        <w:rPr>
          <w:rFonts w:hint="eastAsia" w:hAnsi="宋体"/>
          <w:bCs/>
          <w:color w:val="000000"/>
          <w:szCs w:val="21"/>
        </w:rPr>
        <w:t>00万元以上(含</w:t>
      </w:r>
      <w:r>
        <w:rPr>
          <w:rFonts w:hint="eastAsia" w:hAnsi="宋体"/>
          <w:bCs/>
          <w:color w:val="000000"/>
          <w:szCs w:val="21"/>
          <w:lang w:val="en-US" w:eastAsia="zh-CN"/>
        </w:rPr>
        <w:t>10</w:t>
      </w:r>
      <w:r>
        <w:rPr>
          <w:rFonts w:hint="eastAsia" w:hAnsi="宋体"/>
          <w:bCs/>
          <w:color w:val="000000"/>
          <w:szCs w:val="21"/>
        </w:rPr>
        <w:t>00万)。</w:t>
      </w:r>
    </w:p>
    <w:p>
      <w:pPr>
        <w:spacing w:line="360" w:lineRule="auto"/>
        <w:ind w:firstLine="420" w:firstLineChars="200"/>
        <w:rPr>
          <w:rFonts w:hAnsi="宋体"/>
          <w:bCs/>
          <w:color w:val="000000"/>
          <w:szCs w:val="21"/>
        </w:rPr>
      </w:pPr>
      <w:r>
        <w:rPr>
          <w:rFonts w:hint="eastAsia" w:hAnsi="宋体"/>
          <w:bCs/>
          <w:color w:val="000000"/>
          <w:szCs w:val="21"/>
        </w:rPr>
        <w:t>1.4</w:t>
      </w:r>
      <w:r>
        <w:rPr>
          <w:rFonts w:hint="eastAsia"/>
          <w:sz w:val="20"/>
          <w:szCs w:val="20"/>
        </w:rPr>
        <w:t>投标人具有实施本招标项目的技术力量、加工设备及质量管理能力，</w:t>
      </w:r>
      <w:r>
        <w:rPr>
          <w:rFonts w:hint="eastAsia" w:ascii="宋体" w:hAnsi="宋体"/>
          <w:szCs w:val="21"/>
        </w:rPr>
        <w:t>投标人需具有相关的制造、设计、安装资质，并已通过</w:t>
      </w:r>
      <w:r>
        <w:rPr>
          <w:rFonts w:ascii="宋体" w:hAnsi="宋体"/>
          <w:szCs w:val="21"/>
        </w:rPr>
        <w:t>ISO9000</w:t>
      </w:r>
      <w:r>
        <w:rPr>
          <w:rFonts w:hint="eastAsia" w:ascii="宋体" w:hAnsi="宋体"/>
          <w:szCs w:val="21"/>
        </w:rPr>
        <w:t>系列质量管理体系认证</w:t>
      </w:r>
      <w:r>
        <w:rPr>
          <w:rFonts w:hint="eastAsia" w:hAnsi="宋体"/>
          <w:bCs/>
          <w:color w:val="000000"/>
          <w:szCs w:val="21"/>
        </w:rPr>
        <w:t>。</w:t>
      </w:r>
    </w:p>
    <w:p>
      <w:pPr>
        <w:spacing w:line="360" w:lineRule="auto"/>
        <w:ind w:firstLine="420" w:firstLineChars="200"/>
        <w:rPr>
          <w:rFonts w:hAnsi="宋体"/>
          <w:bCs/>
          <w:color w:val="000000"/>
          <w:szCs w:val="21"/>
        </w:rPr>
      </w:pPr>
      <w:r>
        <w:rPr>
          <w:rFonts w:hint="eastAsia" w:hAnsi="宋体"/>
          <w:bCs/>
          <w:color w:val="000000"/>
          <w:szCs w:val="21"/>
        </w:rPr>
        <w:t>1.5</w:t>
      </w:r>
      <w:r>
        <w:rPr>
          <w:rFonts w:hint="eastAsia" w:ascii="宋体" w:hAnsi="宋体"/>
          <w:szCs w:val="21"/>
        </w:rPr>
        <w:t>投标人近</w:t>
      </w:r>
      <w:r>
        <w:rPr>
          <w:rFonts w:ascii="宋体" w:hAnsi="宋体"/>
          <w:szCs w:val="21"/>
        </w:rPr>
        <w:t>3</w:t>
      </w:r>
      <w:r>
        <w:rPr>
          <w:rFonts w:hint="eastAsia" w:ascii="宋体" w:hAnsi="宋体"/>
          <w:szCs w:val="21"/>
        </w:rPr>
        <w:t>年财务状况较好，无违法违规等不良记录，社会信誉良好，提供近3年的财务报表。具有良好的商业信誉和健全的财务会计制度；遵纪守法</w:t>
      </w:r>
      <w:r>
        <w:rPr>
          <w:rFonts w:hint="eastAsia" w:hAnsi="宋体"/>
          <w:bCs/>
          <w:color w:val="000000"/>
          <w:szCs w:val="21"/>
        </w:rPr>
        <w:t>。</w:t>
      </w:r>
    </w:p>
    <w:p>
      <w:pPr>
        <w:spacing w:line="360" w:lineRule="auto"/>
        <w:ind w:firstLine="420" w:firstLineChars="200"/>
        <w:rPr>
          <w:rFonts w:hAnsi="宋体"/>
          <w:bCs/>
          <w:color w:val="000000"/>
          <w:szCs w:val="21"/>
        </w:rPr>
      </w:pPr>
      <w:r>
        <w:rPr>
          <w:rFonts w:hint="eastAsia" w:hAnsi="宋体"/>
          <w:bCs/>
          <w:color w:val="000000"/>
          <w:szCs w:val="21"/>
        </w:rPr>
        <w:t>1.6</w:t>
      </w:r>
      <w:r>
        <w:rPr>
          <w:rFonts w:hint="eastAsia" w:ascii="宋体" w:hAnsi="宋体"/>
          <w:szCs w:val="21"/>
        </w:rPr>
        <w:t>投标人在近三年内同类型设备的销售业绩达5套以上</w:t>
      </w:r>
      <w:r>
        <w:rPr>
          <w:rFonts w:hint="eastAsia" w:hAnsi="宋体"/>
          <w:bCs/>
          <w:color w:val="000000"/>
          <w:szCs w:val="21"/>
        </w:rPr>
        <w:t>。</w:t>
      </w:r>
    </w:p>
    <w:p>
      <w:pPr>
        <w:spacing w:line="360" w:lineRule="auto"/>
        <w:ind w:firstLine="420" w:firstLineChars="200"/>
        <w:rPr>
          <w:rFonts w:hAnsi="宋体"/>
          <w:bCs/>
          <w:color w:val="000000"/>
          <w:szCs w:val="21"/>
        </w:rPr>
      </w:pPr>
      <w:r>
        <w:rPr>
          <w:rFonts w:hint="eastAsia" w:hAnsi="宋体"/>
          <w:bCs/>
          <w:color w:val="000000"/>
          <w:szCs w:val="21"/>
        </w:rPr>
        <w:t>1.7法人代表证或法人授权委托书，经办人、被委托人身份证复印件。</w:t>
      </w:r>
    </w:p>
    <w:p>
      <w:pPr>
        <w:spacing w:line="360" w:lineRule="auto"/>
        <w:ind w:firstLine="420" w:firstLineChars="200"/>
        <w:rPr>
          <w:rFonts w:hAnsi="宋体"/>
          <w:bCs/>
          <w:color w:val="000000"/>
          <w:szCs w:val="21"/>
        </w:rPr>
      </w:pPr>
      <w:r>
        <w:rPr>
          <w:rFonts w:hint="eastAsia" w:hAnsi="宋体"/>
          <w:bCs/>
          <w:color w:val="000000"/>
          <w:szCs w:val="21"/>
        </w:rPr>
        <w:t>1.8同意招标文件内容，有能力满足招标人的要求。</w:t>
      </w:r>
    </w:p>
    <w:p>
      <w:pPr>
        <w:spacing w:line="360" w:lineRule="auto"/>
        <w:ind w:firstLine="420" w:firstLineChars="200"/>
        <w:rPr>
          <w:rFonts w:hAnsi="宋体"/>
          <w:bCs/>
          <w:color w:val="000000"/>
          <w:szCs w:val="21"/>
        </w:rPr>
      </w:pPr>
      <w:r>
        <w:rPr>
          <w:rFonts w:hint="eastAsia" w:hAnsi="宋体"/>
          <w:bCs/>
          <w:color w:val="000000"/>
          <w:szCs w:val="21"/>
        </w:rPr>
        <w:t>联系人：技术联系人：</w:t>
      </w:r>
      <w:r>
        <w:rPr>
          <w:rFonts w:hint="eastAsia" w:hAnsi="宋体"/>
          <w:bCs/>
          <w:color w:val="000000"/>
          <w:szCs w:val="21"/>
          <w:lang w:eastAsia="zh-CN"/>
        </w:rPr>
        <w:t>张鑫雨</w:t>
      </w:r>
      <w:r>
        <w:rPr>
          <w:rFonts w:hint="eastAsia" w:hAnsi="宋体"/>
          <w:bCs/>
          <w:color w:val="000000"/>
          <w:szCs w:val="21"/>
        </w:rPr>
        <w:t xml:space="preserve"> </w:t>
      </w:r>
      <w:r>
        <w:rPr>
          <w:rFonts w:hint="eastAsia" w:hAnsi="宋体"/>
          <w:bCs/>
          <w:color w:val="000000"/>
          <w:szCs w:val="21"/>
          <w:lang w:val="en-US" w:eastAsia="zh-CN"/>
        </w:rPr>
        <w:t>15161432149</w:t>
      </w:r>
      <w:r>
        <w:rPr>
          <w:rFonts w:hAnsi="宋体"/>
          <w:bCs/>
          <w:color w:val="000000"/>
          <w:szCs w:val="21"/>
        </w:rPr>
        <w:t xml:space="preserve"> </w:t>
      </w:r>
      <w:r>
        <w:rPr>
          <w:rFonts w:hint="eastAsia" w:hAnsi="宋体"/>
          <w:bCs/>
          <w:color w:val="000000"/>
          <w:szCs w:val="21"/>
        </w:rPr>
        <w:t>；</w:t>
      </w:r>
    </w:p>
    <w:p>
      <w:pPr>
        <w:spacing w:line="360" w:lineRule="auto"/>
        <w:ind w:firstLine="1260" w:firstLineChars="600"/>
        <w:rPr>
          <w:rFonts w:ascii="宋体" w:hAnsi="宋体"/>
          <w:szCs w:val="21"/>
        </w:rPr>
      </w:pPr>
      <w:r>
        <w:rPr>
          <w:rFonts w:hint="eastAsia" w:hAnsi="宋体"/>
          <w:bCs/>
          <w:color w:val="000000"/>
          <w:szCs w:val="21"/>
        </w:rPr>
        <w:t>商务联系人：</w:t>
      </w:r>
      <w:r>
        <w:rPr>
          <w:rFonts w:hint="eastAsia" w:hAnsi="宋体"/>
          <w:bCs/>
          <w:color w:val="000000"/>
          <w:szCs w:val="21"/>
          <w:lang w:eastAsia="zh-CN"/>
        </w:rPr>
        <w:t>强文豪</w:t>
      </w:r>
      <w:r>
        <w:rPr>
          <w:rFonts w:hint="eastAsia" w:hAnsi="宋体"/>
          <w:bCs/>
          <w:color w:val="000000"/>
          <w:szCs w:val="21"/>
        </w:rPr>
        <w:t xml:space="preserve"> </w:t>
      </w:r>
      <w:r>
        <w:rPr>
          <w:rFonts w:hint="eastAsia" w:hAnsi="宋体"/>
          <w:bCs/>
          <w:color w:val="000000"/>
          <w:szCs w:val="21"/>
          <w:lang w:val="en-US" w:eastAsia="zh-CN"/>
        </w:rPr>
        <w:t>18252771822</w:t>
      </w:r>
      <w:r>
        <w:rPr>
          <w:rFonts w:hint="eastAsia" w:hAnsi="宋体"/>
          <w:bCs/>
          <w:color w:val="000000"/>
          <w:szCs w:val="21"/>
        </w:rPr>
        <w:t>；</w:t>
      </w:r>
    </w:p>
    <w:p>
      <w:pPr>
        <w:spacing w:line="360" w:lineRule="auto"/>
        <w:ind w:firstLine="420" w:firstLineChars="200"/>
        <w:rPr>
          <w:szCs w:val="21"/>
          <w:highlight w:val="none"/>
        </w:rPr>
      </w:pPr>
      <w:r>
        <w:rPr>
          <w:rFonts w:hint="eastAsia" w:ascii="宋体" w:hAnsi="宋体"/>
          <w:szCs w:val="21"/>
        </w:rPr>
        <w:t>2、开标时间：</w:t>
      </w:r>
      <w:r>
        <w:rPr>
          <w:rFonts w:hint="eastAsia"/>
          <w:szCs w:val="21"/>
          <w:highlight w:val="none"/>
        </w:rPr>
        <w:t>202</w:t>
      </w:r>
      <w:r>
        <w:rPr>
          <w:rFonts w:hint="eastAsia"/>
          <w:szCs w:val="21"/>
          <w:highlight w:val="none"/>
          <w:lang w:val="en-US" w:eastAsia="zh-CN"/>
        </w:rPr>
        <w:t>5</w:t>
      </w:r>
      <w:r>
        <w:rPr>
          <w:rFonts w:hint="eastAsia"/>
          <w:szCs w:val="21"/>
          <w:highlight w:val="none"/>
        </w:rPr>
        <w:t>年</w:t>
      </w:r>
      <w:r>
        <w:rPr>
          <w:rFonts w:hint="eastAsia"/>
          <w:szCs w:val="21"/>
          <w:highlight w:val="none"/>
          <w:lang w:val="en-US" w:eastAsia="zh-CN"/>
        </w:rPr>
        <w:t>12</w:t>
      </w:r>
      <w:r>
        <w:rPr>
          <w:rFonts w:hint="eastAsia"/>
          <w:szCs w:val="21"/>
          <w:highlight w:val="none"/>
        </w:rPr>
        <w:t>月</w:t>
      </w:r>
      <w:r>
        <w:rPr>
          <w:rFonts w:hint="eastAsia"/>
          <w:szCs w:val="21"/>
          <w:highlight w:val="none"/>
          <w:lang w:val="en-US" w:eastAsia="zh-CN"/>
        </w:rPr>
        <w:t>3</w:t>
      </w:r>
      <w:r>
        <w:rPr>
          <w:rFonts w:hint="eastAsia"/>
          <w:szCs w:val="21"/>
          <w:highlight w:val="none"/>
        </w:rPr>
        <w:t>日</w:t>
      </w:r>
      <w:r>
        <w:rPr>
          <w:rFonts w:hint="eastAsia"/>
          <w:szCs w:val="21"/>
          <w:highlight w:val="none"/>
          <w:lang w:val="en-US" w:eastAsia="zh-CN"/>
        </w:rPr>
        <w:t>3</w:t>
      </w:r>
      <w:r>
        <w:rPr>
          <w:rFonts w:hint="eastAsia"/>
          <w:szCs w:val="21"/>
          <w:highlight w:val="none"/>
        </w:rPr>
        <w:t>:</w:t>
      </w:r>
      <w:r>
        <w:rPr>
          <w:rFonts w:hint="eastAsia"/>
          <w:szCs w:val="21"/>
          <w:highlight w:val="none"/>
          <w:lang w:val="en-US" w:eastAsia="zh-CN"/>
        </w:rPr>
        <w:t>30</w:t>
      </w:r>
      <w:r>
        <w:rPr>
          <w:rFonts w:hint="eastAsia"/>
          <w:szCs w:val="21"/>
          <w:highlight w:val="none"/>
        </w:rPr>
        <w:t xml:space="preserve"> ~</w:t>
      </w:r>
      <w:r>
        <w:rPr>
          <w:rFonts w:hint="eastAsia"/>
          <w:szCs w:val="21"/>
          <w:highlight w:val="none"/>
          <w:lang w:val="en-US" w:eastAsia="zh-CN"/>
        </w:rPr>
        <w:t>4</w:t>
      </w:r>
      <w:r>
        <w:rPr>
          <w:rFonts w:hint="eastAsia"/>
          <w:szCs w:val="21"/>
          <w:highlight w:val="none"/>
        </w:rPr>
        <w:t>:</w:t>
      </w:r>
      <w:r>
        <w:rPr>
          <w:rFonts w:hint="eastAsia"/>
          <w:szCs w:val="21"/>
          <w:highlight w:val="none"/>
          <w:lang w:val="en-US" w:eastAsia="zh-CN"/>
        </w:rPr>
        <w:t>3</w:t>
      </w:r>
      <w:r>
        <w:rPr>
          <w:rFonts w:hint="eastAsia"/>
          <w:szCs w:val="21"/>
          <w:highlight w:val="none"/>
        </w:rPr>
        <w:t xml:space="preserve">0 </w:t>
      </w:r>
    </w:p>
    <w:p>
      <w:pPr>
        <w:spacing w:line="360" w:lineRule="auto"/>
        <w:ind w:firstLine="735" w:firstLineChars="350"/>
        <w:rPr>
          <w:szCs w:val="21"/>
        </w:rPr>
      </w:pPr>
      <w:r>
        <w:rPr>
          <w:rFonts w:hint="eastAsia"/>
          <w:szCs w:val="21"/>
        </w:rPr>
        <w:t xml:space="preserve">先举行技术开标，再举行商务开标。投标方派人现场交流 </w:t>
      </w:r>
    </w:p>
    <w:p>
      <w:pPr>
        <w:spacing w:line="360" w:lineRule="auto"/>
        <w:ind w:firstLine="735" w:firstLineChars="350"/>
        <w:rPr>
          <w:szCs w:val="21"/>
        </w:rPr>
      </w:pPr>
      <w:r>
        <w:rPr>
          <w:rFonts w:hint="eastAsia"/>
          <w:szCs w:val="21"/>
        </w:rPr>
        <w:t>具体安排根据实际开标情况调整，如有调整，以开标后临时通知为准。</w:t>
      </w:r>
    </w:p>
    <w:p>
      <w:pPr>
        <w:spacing w:line="360" w:lineRule="auto"/>
        <w:ind w:firstLine="420" w:firstLineChars="200"/>
        <w:rPr>
          <w:b/>
          <w:szCs w:val="21"/>
        </w:rPr>
      </w:pPr>
      <w:r>
        <w:rPr>
          <w:rFonts w:hint="eastAsia" w:ascii="宋体" w:hAnsi="宋体"/>
          <w:szCs w:val="21"/>
        </w:rPr>
        <w:t>3、开标地</w:t>
      </w:r>
      <w:r>
        <w:rPr>
          <w:rFonts w:hint="eastAsia"/>
          <w:szCs w:val="21"/>
        </w:rPr>
        <w:t>点：</w:t>
      </w:r>
      <w:r>
        <w:rPr>
          <w:rFonts w:hint="eastAsia"/>
          <w:bCs/>
          <w:szCs w:val="21"/>
          <w:lang w:eastAsia="zh-CN"/>
        </w:rPr>
        <w:t>辰胜集成科技股份有限公司</w:t>
      </w:r>
      <w:r>
        <w:rPr>
          <w:rFonts w:hint="eastAsia"/>
          <w:bCs/>
          <w:szCs w:val="21"/>
          <w:lang w:val="en-US" w:eastAsia="zh-CN"/>
        </w:rPr>
        <w:t>2</w:t>
      </w:r>
      <w:r>
        <w:rPr>
          <w:rFonts w:hint="eastAsia"/>
          <w:bCs/>
          <w:szCs w:val="21"/>
        </w:rPr>
        <w:t>楼会议室</w:t>
      </w:r>
    </w:p>
    <w:p>
      <w:pPr>
        <w:spacing w:line="360" w:lineRule="auto"/>
        <w:ind w:firstLine="420" w:firstLineChars="200"/>
        <w:rPr>
          <w:rFonts w:ascii="宋体" w:hAnsi="宋体"/>
          <w:szCs w:val="21"/>
        </w:rPr>
      </w:pPr>
      <w:r>
        <w:rPr>
          <w:rFonts w:hint="eastAsia" w:ascii="宋体" w:hAnsi="宋体"/>
          <w:szCs w:val="21"/>
        </w:rPr>
        <w:t>4、招标人全称：</w:t>
      </w:r>
      <w:r>
        <w:rPr>
          <w:rFonts w:hint="eastAsia" w:ascii="宋体" w:hAnsi="宋体"/>
          <w:szCs w:val="21"/>
          <w:lang w:eastAsia="zh-CN"/>
        </w:rPr>
        <w:t>辰胜集成科技股份有限公司</w:t>
      </w:r>
    </w:p>
    <w:p>
      <w:pPr>
        <w:spacing w:line="360" w:lineRule="auto"/>
        <w:ind w:firstLine="420" w:firstLineChars="200"/>
        <w:rPr>
          <w:rFonts w:hint="eastAsia" w:ascii="宋体" w:hAnsi="宋体"/>
          <w:szCs w:val="21"/>
        </w:rPr>
      </w:pPr>
      <w:r>
        <w:rPr>
          <w:rFonts w:hint="eastAsia" w:ascii="宋体" w:hAnsi="宋体"/>
          <w:szCs w:val="21"/>
        </w:rPr>
        <w:t>5、招标人地址：江苏省宝应县氾水镇工业集中区</w:t>
      </w:r>
    </w:p>
    <w:p>
      <w:pPr>
        <w:spacing w:line="360" w:lineRule="auto"/>
        <w:ind w:firstLine="420" w:firstLineChars="200"/>
        <w:rPr>
          <w:rFonts w:hint="eastAsia"/>
          <w:lang w:val="en-US" w:eastAsia="zh-CN"/>
        </w:rPr>
      </w:pPr>
      <w:r>
        <w:rPr>
          <w:rFonts w:hint="eastAsia" w:ascii="宋体" w:hAnsi="宋体"/>
          <w:szCs w:val="21"/>
          <w:lang w:val="en-US" w:eastAsia="zh-CN"/>
        </w:rPr>
        <w:t>6</w:t>
      </w:r>
      <w:r>
        <w:rPr>
          <w:rFonts w:hint="eastAsia" w:ascii="宋体" w:hAnsi="宋体"/>
          <w:szCs w:val="21"/>
        </w:rPr>
        <w:t>、招标人</w:t>
      </w:r>
      <w:r>
        <w:rPr>
          <w:rFonts w:hint="eastAsia" w:ascii="宋体" w:hAnsi="宋体"/>
          <w:szCs w:val="21"/>
          <w:lang w:eastAsia="zh-CN"/>
        </w:rPr>
        <w:t>网址</w:t>
      </w:r>
      <w:r>
        <w:rPr>
          <w:rFonts w:hint="eastAsia" w:ascii="宋体" w:hAnsi="宋体"/>
          <w:szCs w:val="21"/>
        </w:rPr>
        <w:t>：http://www.chensjc.com</w:t>
      </w:r>
    </w:p>
    <w:p>
      <w:pPr>
        <w:spacing w:line="360" w:lineRule="auto"/>
        <w:ind w:firstLine="420" w:firstLineChars="200"/>
        <w:rPr>
          <w:rFonts w:hint="default" w:ascii="宋体" w:hAnsi="宋体" w:eastAsia="宋体"/>
          <w:szCs w:val="21"/>
          <w:lang w:val="en-US" w:eastAsia="zh-CN"/>
        </w:rPr>
      </w:pPr>
    </w:p>
    <w:p>
      <w:pPr>
        <w:spacing w:line="360" w:lineRule="auto"/>
        <w:ind w:firstLine="570"/>
        <w:rPr>
          <w:rFonts w:ascii="宋体" w:hAnsi="宋体"/>
          <w:szCs w:val="21"/>
        </w:rPr>
      </w:pPr>
      <w:r>
        <w:rPr>
          <w:rFonts w:hint="eastAsia" w:ascii="宋体" w:hAnsi="宋体"/>
          <w:szCs w:val="21"/>
        </w:rPr>
        <w:t>邮编：</w:t>
      </w:r>
      <w:r>
        <w:rPr>
          <w:rFonts w:ascii="宋体" w:hAnsi="宋体"/>
          <w:szCs w:val="21"/>
        </w:rPr>
        <w:t>225819</w:t>
      </w:r>
    </w:p>
    <w:p>
      <w:pPr>
        <w:spacing w:line="360" w:lineRule="auto"/>
        <w:jc w:val="center"/>
        <w:outlineLvl w:val="0"/>
        <w:rPr>
          <w:rFonts w:ascii="黑体" w:hAnsi="宋体" w:eastAsia="黑体" w:cs="宋体"/>
          <w:b/>
          <w:sz w:val="30"/>
          <w:szCs w:val="30"/>
        </w:rPr>
      </w:pPr>
      <w:r>
        <w:rPr>
          <w:rFonts w:ascii="宋体" w:hAnsi="宋体"/>
          <w:szCs w:val="21"/>
        </w:rPr>
        <w:br w:type="page"/>
      </w:r>
      <w:bookmarkStart w:id="2" w:name="_Toc480550235"/>
      <w:r>
        <w:rPr>
          <w:rFonts w:hint="eastAsia" w:ascii="黑体" w:hAnsi="宋体" w:eastAsia="黑体" w:cs="宋体"/>
          <w:b/>
          <w:sz w:val="30"/>
          <w:szCs w:val="30"/>
        </w:rPr>
        <w:t>第二章投标人须知</w:t>
      </w:r>
      <w:bookmarkEnd w:id="2"/>
    </w:p>
    <w:p>
      <w:pPr>
        <w:tabs>
          <w:tab w:val="left" w:pos="1350"/>
        </w:tabs>
        <w:spacing w:line="360" w:lineRule="auto"/>
        <w:ind w:firstLine="570"/>
        <w:jc w:val="center"/>
        <w:rPr>
          <w:rFonts w:ascii="黑体" w:hAnsi="宋体" w:eastAsia="黑体" w:cs="宋体"/>
          <w:b/>
          <w:sz w:val="30"/>
          <w:szCs w:val="30"/>
        </w:rPr>
      </w:pPr>
    </w:p>
    <w:p>
      <w:pPr>
        <w:tabs>
          <w:tab w:val="left" w:pos="1350"/>
        </w:tabs>
        <w:spacing w:line="360" w:lineRule="auto"/>
        <w:ind w:left="141" w:leftChars="67" w:firstLine="424" w:firstLineChars="201"/>
        <w:rPr>
          <w:rFonts w:ascii="黑体" w:hAnsi="宋体" w:eastAsia="黑体" w:cs="宋体"/>
          <w:b/>
          <w:szCs w:val="21"/>
        </w:rPr>
      </w:pPr>
      <w:r>
        <w:rPr>
          <w:rFonts w:ascii="宋体" w:hAnsi="宋体" w:cs="宋体"/>
          <w:b/>
          <w:szCs w:val="21"/>
        </w:rPr>
        <w:t>1</w:t>
      </w:r>
      <w:r>
        <w:rPr>
          <w:rFonts w:hint="eastAsia" w:ascii="宋体" w:hAnsi="宋体" w:cs="宋体"/>
          <w:b/>
          <w:szCs w:val="21"/>
        </w:rPr>
        <w:t>、项目概况</w:t>
      </w:r>
    </w:p>
    <w:p>
      <w:pPr>
        <w:spacing w:line="360" w:lineRule="auto"/>
        <w:ind w:left="141" w:leftChars="67" w:firstLine="422" w:firstLineChars="201"/>
        <w:rPr>
          <w:rFonts w:hint="eastAsia"/>
          <w:szCs w:val="21"/>
          <w:lang w:eastAsia="zh-CN"/>
        </w:rPr>
      </w:pPr>
      <w:r>
        <w:rPr>
          <w:rFonts w:ascii="宋体" w:hAnsi="宋体" w:cs="宋体"/>
          <w:szCs w:val="21"/>
        </w:rPr>
        <w:t>1.1</w:t>
      </w:r>
      <w:r>
        <w:rPr>
          <w:rFonts w:hint="eastAsia" w:ascii="宋体" w:hAnsi="宋体" w:cs="宋体"/>
          <w:szCs w:val="21"/>
        </w:rPr>
        <w:t>招标项目：</w:t>
      </w:r>
      <w:r>
        <w:rPr>
          <w:rFonts w:hint="eastAsia" w:ascii="宋体" w:hAnsi="宋体" w:eastAsia="宋体" w:cs="宋体"/>
          <w:sz w:val="21"/>
          <w:szCs w:val="21"/>
          <w:lang w:eastAsia="zh-CN"/>
        </w:rPr>
        <w:t>宝应产业园</w:t>
      </w:r>
      <w:r>
        <w:rPr>
          <w:rFonts w:hint="eastAsia" w:ascii="宋体" w:hAnsi="宋体" w:eastAsia="宋体" w:cs="宋体"/>
          <w:sz w:val="21"/>
          <w:szCs w:val="21"/>
        </w:rPr>
        <w:t>项目</w:t>
      </w:r>
      <w:r>
        <w:rPr>
          <w:rFonts w:hint="eastAsia"/>
          <w:szCs w:val="21"/>
          <w:lang w:eastAsia="zh-CN"/>
        </w:rPr>
        <w:t>招标文件</w:t>
      </w:r>
    </w:p>
    <w:p>
      <w:pPr>
        <w:spacing w:line="360" w:lineRule="auto"/>
        <w:ind w:left="141" w:leftChars="67" w:firstLine="422" w:firstLineChars="201"/>
        <w:rPr>
          <w:rFonts w:ascii="宋体" w:hAnsi="宋体" w:cs="宋体"/>
          <w:szCs w:val="21"/>
        </w:rPr>
      </w:pPr>
      <w:r>
        <w:rPr>
          <w:rFonts w:ascii="宋体" w:hAnsi="宋体" w:cs="宋体"/>
          <w:szCs w:val="21"/>
        </w:rPr>
        <w:t>1.2</w:t>
      </w:r>
      <w:r>
        <w:rPr>
          <w:rFonts w:hint="eastAsia" w:ascii="宋体" w:hAnsi="宋体" w:cs="宋体"/>
          <w:szCs w:val="21"/>
        </w:rPr>
        <w:t>招标费用</w:t>
      </w:r>
    </w:p>
    <w:p>
      <w:pPr>
        <w:spacing w:line="360" w:lineRule="auto"/>
        <w:ind w:left="141" w:leftChars="67" w:firstLine="422" w:firstLineChars="201"/>
        <w:rPr>
          <w:rFonts w:ascii="宋体" w:hAnsi="宋体" w:cs="宋体"/>
          <w:szCs w:val="21"/>
        </w:rPr>
      </w:pPr>
      <w:r>
        <w:rPr>
          <w:rFonts w:hint="eastAsia" w:ascii="宋体" w:hAnsi="宋体" w:cs="宋体"/>
          <w:szCs w:val="21"/>
        </w:rPr>
        <w:t>1.2.1投标保证金</w:t>
      </w:r>
    </w:p>
    <w:p>
      <w:pPr>
        <w:spacing w:line="360" w:lineRule="auto"/>
        <w:ind w:left="141" w:leftChars="67" w:firstLine="422" w:firstLineChars="201"/>
        <w:rPr>
          <w:rFonts w:ascii="宋体" w:hAnsi="宋体" w:cs="宋体"/>
          <w:szCs w:val="21"/>
        </w:rPr>
      </w:pPr>
      <w:r>
        <w:rPr>
          <w:rFonts w:hint="eastAsia" w:ascii="宋体" w:hAnsi="宋体" w:cs="宋体"/>
          <w:szCs w:val="21"/>
        </w:rPr>
        <w:t>投标人若参与投标，则需缴纳要求的投标保证金。</w:t>
      </w:r>
    </w:p>
    <w:p>
      <w:pPr>
        <w:spacing w:line="360" w:lineRule="auto"/>
        <w:ind w:left="141" w:leftChars="67" w:firstLine="422" w:firstLineChars="201"/>
        <w:rPr>
          <w:rFonts w:ascii="宋体" w:hAnsi="宋体" w:cs="宋体"/>
          <w:szCs w:val="21"/>
        </w:rPr>
      </w:pPr>
      <w:r>
        <w:rPr>
          <w:rFonts w:ascii="宋体" w:hAnsi="宋体" w:cs="宋体"/>
          <w:szCs w:val="21"/>
        </w:rPr>
        <w:t>投标保证金</w:t>
      </w:r>
      <w:r>
        <w:rPr>
          <w:rFonts w:hint="eastAsia" w:ascii="宋体" w:hAnsi="宋体" w:cs="宋体"/>
          <w:szCs w:val="21"/>
        </w:rPr>
        <w:t>必须在开标前交到招标人指定的账户，只接受电汇，汇款时注明汇款事由，逾期视为弃标，不得参与开标会。</w:t>
      </w:r>
    </w:p>
    <w:p>
      <w:pPr>
        <w:spacing w:line="360" w:lineRule="auto"/>
        <w:ind w:left="141" w:leftChars="67" w:firstLine="422" w:firstLineChars="201"/>
        <w:rPr>
          <w:rFonts w:ascii="宋体" w:hAnsi="宋体" w:cs="宋体"/>
          <w:szCs w:val="21"/>
        </w:rPr>
      </w:pPr>
      <w:r>
        <w:rPr>
          <w:rFonts w:hint="eastAsia" w:ascii="宋体" w:hAnsi="宋体" w:cs="宋体"/>
          <w:szCs w:val="21"/>
        </w:rPr>
        <w:t>当投标人未中标时（以招标人与中标单位签订合同并生效之日为准），招标人无息退还投标人缴纳的保证金。</w:t>
      </w:r>
    </w:p>
    <w:p>
      <w:pPr>
        <w:spacing w:line="360" w:lineRule="auto"/>
        <w:ind w:left="141" w:leftChars="67" w:firstLine="422" w:firstLineChars="201"/>
        <w:rPr>
          <w:rFonts w:ascii="宋体" w:hAnsi="宋体" w:cs="宋体"/>
          <w:szCs w:val="21"/>
        </w:rPr>
      </w:pPr>
      <w:r>
        <w:rPr>
          <w:rFonts w:hint="eastAsia" w:ascii="宋体" w:hAnsi="宋体" w:cs="宋体"/>
          <w:szCs w:val="21"/>
        </w:rPr>
        <w:t>保证金退回必须履行相关程序和手续，原则上必须退回原单位和账号，</w:t>
      </w:r>
      <w:bookmarkStart w:id="3" w:name="4788195-5004213-9_4"/>
      <w:bookmarkEnd w:id="3"/>
      <w:r>
        <w:rPr>
          <w:rFonts w:hint="eastAsia" w:ascii="宋体" w:hAnsi="宋体" w:cs="宋体"/>
          <w:szCs w:val="21"/>
        </w:rPr>
        <w:t>若原账号发生变更，投标人须提供相关证明材料。</w:t>
      </w:r>
    </w:p>
    <w:p>
      <w:pPr>
        <w:spacing w:line="360" w:lineRule="auto"/>
        <w:ind w:left="141" w:leftChars="67" w:firstLine="422" w:firstLineChars="201"/>
        <w:rPr>
          <w:rFonts w:ascii="宋体" w:hAnsi="宋体" w:cs="宋体"/>
          <w:szCs w:val="21"/>
        </w:rPr>
      </w:pPr>
      <w:r>
        <w:rPr>
          <w:rFonts w:hint="eastAsia" w:ascii="宋体" w:hAnsi="宋体" w:cs="宋体"/>
          <w:szCs w:val="21"/>
        </w:rPr>
        <w:t>投标保证金如有以下情况的给予没收处理：</w:t>
      </w:r>
    </w:p>
    <w:p>
      <w:pPr>
        <w:spacing w:line="360" w:lineRule="auto"/>
        <w:ind w:left="567" w:leftChars="270" w:firstLine="424" w:firstLineChars="202"/>
        <w:rPr>
          <w:rFonts w:ascii="宋体" w:hAnsi="宋体" w:cs="宋体"/>
          <w:szCs w:val="21"/>
        </w:rPr>
      </w:pPr>
      <w:r>
        <w:rPr>
          <w:rFonts w:hint="eastAsia" w:ascii="宋体" w:hAnsi="宋体" w:cs="宋体"/>
          <w:szCs w:val="21"/>
        </w:rPr>
        <w:t>（1）经招标人查实，投标单位参与陪标的；</w:t>
      </w:r>
    </w:p>
    <w:p>
      <w:pPr>
        <w:spacing w:line="360" w:lineRule="auto"/>
        <w:ind w:left="567" w:leftChars="270" w:firstLine="424" w:firstLineChars="202"/>
        <w:rPr>
          <w:rFonts w:ascii="宋体" w:hAnsi="宋体" w:cs="宋体"/>
          <w:szCs w:val="21"/>
        </w:rPr>
      </w:pPr>
      <w:r>
        <w:rPr>
          <w:rFonts w:hint="eastAsia" w:ascii="宋体" w:hAnsi="宋体" w:cs="宋体"/>
          <w:szCs w:val="21"/>
        </w:rPr>
        <w:t>（2）经招标人确定为中标单位，在发布中标通知书以后，30天内不按照双方已商定的内容履行合同签订手续的（由于招标人的原因除外）；</w:t>
      </w:r>
    </w:p>
    <w:p>
      <w:pPr>
        <w:spacing w:line="360" w:lineRule="auto"/>
        <w:ind w:left="567" w:leftChars="270" w:firstLine="424" w:firstLineChars="202"/>
        <w:rPr>
          <w:rFonts w:ascii="宋体" w:hAnsi="宋体" w:cs="宋体"/>
          <w:szCs w:val="21"/>
        </w:rPr>
      </w:pPr>
      <w:r>
        <w:rPr>
          <w:rFonts w:hint="eastAsia" w:ascii="宋体" w:hAnsi="宋体" w:cs="宋体"/>
          <w:szCs w:val="21"/>
        </w:rPr>
        <w:t>（3）投标人违反国家招标法相关法律法规；</w:t>
      </w:r>
    </w:p>
    <w:p>
      <w:pPr>
        <w:spacing w:line="360" w:lineRule="auto"/>
        <w:ind w:left="567" w:leftChars="270" w:firstLine="424" w:firstLineChars="202"/>
        <w:rPr>
          <w:rFonts w:ascii="宋体" w:hAnsi="宋体" w:cs="宋体"/>
          <w:szCs w:val="21"/>
        </w:rPr>
      </w:pPr>
      <w:r>
        <w:rPr>
          <w:rFonts w:hint="eastAsia" w:ascii="宋体" w:hAnsi="宋体" w:cs="宋体"/>
          <w:szCs w:val="21"/>
        </w:rPr>
        <w:t>（4）投标人不履行自行报价及已承诺的技术条款的，除招标方同意外；</w:t>
      </w:r>
    </w:p>
    <w:p>
      <w:pPr>
        <w:spacing w:line="360" w:lineRule="auto"/>
        <w:ind w:left="567" w:leftChars="270" w:firstLine="424" w:firstLineChars="202"/>
        <w:rPr>
          <w:rFonts w:ascii="宋体" w:hAnsi="宋体" w:cs="宋体"/>
          <w:szCs w:val="21"/>
        </w:rPr>
      </w:pPr>
      <w:r>
        <w:rPr>
          <w:rFonts w:hint="eastAsia" w:ascii="宋体" w:hAnsi="宋体" w:cs="宋体"/>
          <w:szCs w:val="21"/>
        </w:rPr>
        <w:t>（5）在投标书的有效期内，投标人要求撤回投标书或协议、备忘录等；</w:t>
      </w:r>
    </w:p>
    <w:p>
      <w:pPr>
        <w:spacing w:line="360" w:lineRule="auto"/>
        <w:ind w:left="141" w:leftChars="67" w:firstLine="422" w:firstLineChars="201"/>
        <w:rPr>
          <w:rFonts w:ascii="宋体" w:hAnsi="宋体" w:cs="宋体"/>
          <w:szCs w:val="21"/>
        </w:rPr>
      </w:pPr>
      <w:r>
        <w:rPr>
          <w:rFonts w:hint="eastAsia" w:ascii="宋体" w:hAnsi="宋体" w:cs="宋体"/>
          <w:szCs w:val="21"/>
        </w:rPr>
        <w:t>1.2.2履约保证金</w:t>
      </w:r>
    </w:p>
    <w:p>
      <w:pPr>
        <w:spacing w:line="360" w:lineRule="auto"/>
        <w:ind w:left="141" w:leftChars="67" w:firstLine="422" w:firstLineChars="201"/>
        <w:rPr>
          <w:rFonts w:ascii="宋体" w:hAnsi="宋体" w:cs="宋体"/>
          <w:szCs w:val="21"/>
        </w:rPr>
      </w:pPr>
      <w:r>
        <w:rPr>
          <w:rFonts w:hint="eastAsia" w:ascii="宋体" w:hAnsi="宋体" w:cs="宋体"/>
          <w:szCs w:val="21"/>
        </w:rPr>
        <w:t>当投标人中标时，中标单位的投标保证金自动转为履约保证金；</w:t>
      </w:r>
    </w:p>
    <w:p>
      <w:pPr>
        <w:spacing w:line="360" w:lineRule="auto"/>
        <w:ind w:left="141" w:leftChars="67" w:firstLine="422" w:firstLineChars="201"/>
        <w:rPr>
          <w:rFonts w:ascii="宋体" w:hAnsi="宋体" w:cs="宋体"/>
          <w:szCs w:val="21"/>
        </w:rPr>
      </w:pPr>
      <w:r>
        <w:rPr>
          <w:rFonts w:hint="eastAsia" w:ascii="宋体" w:hAnsi="宋体" w:cs="宋体"/>
          <w:szCs w:val="21"/>
        </w:rPr>
        <w:t>履约</w:t>
      </w:r>
      <w:r>
        <w:rPr>
          <w:rFonts w:ascii="宋体" w:hAnsi="宋体" w:cs="宋体"/>
          <w:szCs w:val="21"/>
        </w:rPr>
        <w:t>保证金</w:t>
      </w:r>
      <w:r>
        <w:rPr>
          <w:rFonts w:hint="eastAsia" w:ascii="宋体" w:hAnsi="宋体" w:cs="宋体"/>
          <w:szCs w:val="21"/>
        </w:rPr>
        <w:t>原则上</w:t>
      </w:r>
      <w:r>
        <w:rPr>
          <w:rFonts w:ascii="宋体" w:hAnsi="宋体" w:cs="宋体"/>
          <w:szCs w:val="21"/>
        </w:rPr>
        <w:t>应在</w:t>
      </w:r>
      <w:r>
        <w:rPr>
          <w:rFonts w:hint="eastAsia" w:ascii="宋体" w:hAnsi="宋体" w:cs="宋体"/>
          <w:szCs w:val="21"/>
        </w:rPr>
        <w:t>合同履行结束（设备采购类为设备安装验收合格）后退还；</w:t>
      </w:r>
    </w:p>
    <w:p>
      <w:pPr>
        <w:spacing w:line="360" w:lineRule="auto"/>
        <w:ind w:left="141" w:leftChars="67" w:firstLine="422" w:firstLineChars="201"/>
        <w:rPr>
          <w:rFonts w:ascii="宋体" w:hAnsi="宋体" w:cs="宋体"/>
          <w:szCs w:val="21"/>
        </w:rPr>
      </w:pPr>
      <w:r>
        <w:rPr>
          <w:rFonts w:hint="eastAsia" w:ascii="宋体" w:hAnsi="宋体" w:cs="宋体"/>
          <w:szCs w:val="21"/>
        </w:rPr>
        <w:t>履约</w:t>
      </w:r>
      <w:r>
        <w:rPr>
          <w:rFonts w:ascii="宋体" w:hAnsi="宋体" w:cs="宋体"/>
          <w:szCs w:val="21"/>
        </w:rPr>
        <w:t>保证金</w:t>
      </w:r>
      <w:r>
        <w:rPr>
          <w:rFonts w:hint="eastAsia" w:ascii="宋体" w:hAnsi="宋体" w:cs="宋体"/>
          <w:szCs w:val="21"/>
        </w:rPr>
        <w:t>退回必须履行相关程序和手续，原则上必须退回原单位和账号。</w:t>
      </w:r>
    </w:p>
    <w:p>
      <w:pPr>
        <w:spacing w:line="360" w:lineRule="auto"/>
        <w:ind w:left="141" w:leftChars="67" w:firstLine="422" w:firstLineChars="201"/>
        <w:rPr>
          <w:rFonts w:ascii="宋体" w:hAnsi="宋体" w:cs="宋体"/>
          <w:szCs w:val="21"/>
        </w:rPr>
      </w:pPr>
      <w:r>
        <w:rPr>
          <w:rFonts w:hint="eastAsia" w:ascii="宋体" w:hAnsi="宋体" w:cs="宋体"/>
          <w:szCs w:val="21"/>
        </w:rPr>
        <w:t>如履约过程中出现质量、延期交货等情形给我公司造成损失的，相关在履约保证金中扣除，如保证金不足以弥补损失的，则差额在所欠款项中扣除。</w:t>
      </w:r>
    </w:p>
    <w:p>
      <w:pPr>
        <w:spacing w:line="360" w:lineRule="auto"/>
        <w:ind w:left="141" w:leftChars="67" w:firstLine="422" w:firstLineChars="201"/>
        <w:rPr>
          <w:rFonts w:ascii="宋体" w:hAnsi="宋体" w:cs="宋体"/>
          <w:szCs w:val="21"/>
        </w:rPr>
      </w:pPr>
      <w:r>
        <w:rPr>
          <w:rFonts w:hint="eastAsia" w:ascii="宋体" w:hAnsi="宋体" w:cs="宋体"/>
          <w:szCs w:val="21"/>
        </w:rPr>
        <w:t>履约</w:t>
      </w:r>
      <w:r>
        <w:rPr>
          <w:rFonts w:ascii="宋体" w:hAnsi="宋体" w:cs="宋体"/>
          <w:szCs w:val="21"/>
        </w:rPr>
        <w:t>保证金</w:t>
      </w:r>
      <w:r>
        <w:rPr>
          <w:rFonts w:hint="eastAsia" w:ascii="宋体" w:hAnsi="宋体" w:cs="宋体"/>
          <w:szCs w:val="21"/>
        </w:rPr>
        <w:t>存放在我公司期间所产生的</w:t>
      </w:r>
      <w:r>
        <w:rPr>
          <w:rFonts w:ascii="宋体" w:hAnsi="宋体" w:cs="宋体"/>
          <w:szCs w:val="21"/>
        </w:rPr>
        <w:t>利息</w:t>
      </w:r>
      <w:r>
        <w:rPr>
          <w:rFonts w:hint="eastAsia" w:ascii="宋体" w:hAnsi="宋体" w:cs="宋体"/>
          <w:szCs w:val="21"/>
        </w:rPr>
        <w:t>原则上归招标人所有。</w:t>
      </w:r>
    </w:p>
    <w:p>
      <w:pPr>
        <w:spacing w:line="360" w:lineRule="auto"/>
        <w:ind w:left="141" w:leftChars="67" w:firstLine="422" w:firstLineChars="201"/>
        <w:rPr>
          <w:rFonts w:ascii="宋体" w:hAnsi="宋体" w:cs="宋体"/>
          <w:b/>
          <w:szCs w:val="21"/>
        </w:rPr>
      </w:pPr>
      <w:r>
        <w:rPr>
          <w:rFonts w:ascii="宋体" w:hAnsi="宋体" w:cs="宋体"/>
          <w:szCs w:val="21"/>
        </w:rPr>
        <w:t>1.3</w:t>
      </w:r>
      <w:r>
        <w:rPr>
          <w:rFonts w:hint="eastAsia" w:ascii="宋体" w:hAnsi="宋体" w:cs="宋体"/>
          <w:szCs w:val="21"/>
        </w:rPr>
        <w:t xml:space="preserve"> 本次招标的内容和服务，投标人不得转让。如未征得招标人的同意擅自转让，视同泄密。</w:t>
      </w:r>
    </w:p>
    <w:p>
      <w:pPr>
        <w:spacing w:line="360" w:lineRule="auto"/>
        <w:ind w:left="141" w:leftChars="67" w:firstLine="424" w:firstLineChars="201"/>
        <w:rPr>
          <w:rFonts w:ascii="宋体" w:hAnsi="宋体" w:cs="宋体"/>
          <w:b/>
          <w:szCs w:val="21"/>
        </w:rPr>
      </w:pPr>
      <w:r>
        <w:rPr>
          <w:rFonts w:ascii="宋体" w:hAnsi="宋体" w:cs="宋体"/>
          <w:b/>
          <w:szCs w:val="21"/>
        </w:rPr>
        <w:t>2</w:t>
      </w:r>
      <w:r>
        <w:rPr>
          <w:rFonts w:hint="eastAsia" w:ascii="宋体" w:hAnsi="宋体" w:cs="宋体"/>
          <w:b/>
          <w:szCs w:val="21"/>
        </w:rPr>
        <w:t>、投标文件的编制</w:t>
      </w:r>
    </w:p>
    <w:p>
      <w:pPr>
        <w:spacing w:line="360" w:lineRule="auto"/>
        <w:ind w:left="141" w:leftChars="67" w:firstLine="422" w:firstLineChars="201"/>
        <w:rPr>
          <w:rFonts w:ascii="宋体" w:hAnsi="宋体" w:cs="宋体"/>
          <w:szCs w:val="21"/>
        </w:rPr>
      </w:pPr>
      <w:r>
        <w:rPr>
          <w:rFonts w:ascii="宋体" w:hAnsi="宋体" w:cs="宋体"/>
          <w:szCs w:val="21"/>
        </w:rPr>
        <w:t>2.1</w:t>
      </w:r>
      <w:r>
        <w:rPr>
          <w:rFonts w:hint="eastAsia" w:ascii="宋体" w:hAnsi="宋体" w:cs="宋体"/>
          <w:szCs w:val="21"/>
        </w:rPr>
        <w:t xml:space="preserve">投标文件的组成 </w:t>
      </w:r>
    </w:p>
    <w:p>
      <w:pPr>
        <w:spacing w:line="360" w:lineRule="auto"/>
        <w:ind w:left="141" w:leftChars="67" w:firstLine="422" w:firstLineChars="201"/>
        <w:rPr>
          <w:rFonts w:ascii="宋体" w:hAnsi="宋体" w:cs="宋体"/>
          <w:szCs w:val="21"/>
        </w:rPr>
      </w:pPr>
      <w:r>
        <w:rPr>
          <w:rFonts w:hint="eastAsia" w:ascii="宋体" w:hAnsi="宋体" w:cs="宋体"/>
          <w:szCs w:val="21"/>
        </w:rPr>
        <w:t>投标文件包括报价部分、商务文件部分、技术文件部分共三部分组成。</w:t>
      </w:r>
    </w:p>
    <w:p>
      <w:pPr>
        <w:spacing w:line="360" w:lineRule="auto"/>
        <w:ind w:left="141" w:leftChars="67" w:firstLine="422" w:firstLineChars="201"/>
        <w:rPr>
          <w:rFonts w:ascii="宋体" w:hAnsi="宋体" w:cs="宋体"/>
          <w:szCs w:val="21"/>
        </w:rPr>
      </w:pPr>
      <w:r>
        <w:rPr>
          <w:rFonts w:hint="eastAsia" w:ascii="宋体" w:hAnsi="宋体" w:cs="宋体"/>
          <w:szCs w:val="21"/>
        </w:rPr>
        <w:t>2.1.1报价部分主要包括但不限于下列内容：</w:t>
      </w:r>
    </w:p>
    <w:p>
      <w:pPr>
        <w:spacing w:line="360" w:lineRule="auto"/>
        <w:ind w:left="567" w:leftChars="270" w:firstLine="422" w:firstLineChars="201"/>
        <w:rPr>
          <w:rFonts w:ascii="宋体" w:hAnsi="宋体" w:cs="宋体"/>
          <w:szCs w:val="21"/>
        </w:rPr>
      </w:pPr>
      <w:r>
        <w:rPr>
          <w:rFonts w:hint="eastAsia" w:ascii="宋体" w:hAnsi="宋体" w:cs="宋体"/>
          <w:szCs w:val="21"/>
        </w:rPr>
        <w:t>（1）投标书；</w:t>
      </w:r>
    </w:p>
    <w:p>
      <w:pPr>
        <w:spacing w:line="360" w:lineRule="auto"/>
        <w:ind w:left="567" w:leftChars="270" w:firstLine="422" w:firstLineChars="201"/>
        <w:rPr>
          <w:rFonts w:ascii="宋体" w:hAnsi="宋体" w:cs="宋体"/>
          <w:szCs w:val="21"/>
        </w:rPr>
      </w:pPr>
      <w:r>
        <w:rPr>
          <w:rFonts w:hint="eastAsia" w:ascii="宋体" w:hAnsi="宋体" w:cs="宋体"/>
          <w:szCs w:val="21"/>
        </w:rPr>
        <w:t>（2）报价一览表；</w:t>
      </w:r>
    </w:p>
    <w:p>
      <w:pPr>
        <w:spacing w:line="360" w:lineRule="auto"/>
        <w:ind w:left="567" w:leftChars="270" w:firstLine="422" w:firstLineChars="201"/>
        <w:rPr>
          <w:rFonts w:ascii="宋体" w:hAnsi="宋体" w:cs="宋体"/>
          <w:szCs w:val="21"/>
        </w:rPr>
      </w:pPr>
      <w:r>
        <w:rPr>
          <w:rFonts w:hint="eastAsia" w:ascii="宋体" w:hAnsi="宋体" w:cs="宋体"/>
          <w:szCs w:val="21"/>
        </w:rPr>
        <w:t>（3）组成部件分项报价单；</w:t>
      </w:r>
    </w:p>
    <w:p>
      <w:pPr>
        <w:spacing w:line="360" w:lineRule="auto"/>
        <w:ind w:left="567" w:leftChars="270" w:firstLine="422" w:firstLineChars="201"/>
        <w:rPr>
          <w:rFonts w:ascii="宋体" w:hAnsi="宋体" w:cs="宋体"/>
          <w:szCs w:val="21"/>
        </w:rPr>
      </w:pPr>
      <w:r>
        <w:rPr>
          <w:rFonts w:hint="eastAsia" w:ascii="宋体" w:hAnsi="宋体" w:cs="宋体"/>
          <w:szCs w:val="21"/>
        </w:rPr>
        <w:t>（4）各组成分项拆分报价单；</w:t>
      </w:r>
    </w:p>
    <w:p>
      <w:pPr>
        <w:spacing w:line="360" w:lineRule="auto"/>
        <w:ind w:left="567" w:leftChars="270" w:firstLine="422" w:firstLineChars="201"/>
        <w:rPr>
          <w:rFonts w:ascii="宋体" w:hAnsi="宋体" w:cs="宋体"/>
          <w:szCs w:val="21"/>
        </w:rPr>
      </w:pPr>
      <w:r>
        <w:rPr>
          <w:rFonts w:hint="eastAsia" w:ascii="宋体" w:hAnsi="宋体" w:cs="宋体"/>
          <w:szCs w:val="21"/>
        </w:rPr>
        <w:t>（5）备品备件、易损易耗品清单；</w:t>
      </w:r>
    </w:p>
    <w:p>
      <w:pPr>
        <w:spacing w:line="360" w:lineRule="auto"/>
        <w:ind w:left="567" w:leftChars="270" w:firstLine="422" w:firstLineChars="201"/>
        <w:rPr>
          <w:rFonts w:ascii="宋体" w:hAnsi="宋体" w:cs="宋体"/>
          <w:szCs w:val="21"/>
        </w:rPr>
      </w:pPr>
      <w:r>
        <w:rPr>
          <w:rFonts w:hint="eastAsia" w:ascii="宋体" w:hAnsi="宋体" w:cs="宋体"/>
          <w:szCs w:val="21"/>
        </w:rPr>
        <w:t>（6）商务条款偏离表；</w:t>
      </w:r>
    </w:p>
    <w:p>
      <w:pPr>
        <w:spacing w:line="360" w:lineRule="auto"/>
        <w:ind w:left="567" w:leftChars="270" w:firstLine="422" w:firstLineChars="201"/>
        <w:rPr>
          <w:rFonts w:ascii="宋体" w:hAnsi="宋体" w:cs="宋体"/>
          <w:szCs w:val="21"/>
        </w:rPr>
      </w:pPr>
      <w:r>
        <w:rPr>
          <w:rFonts w:hint="eastAsia" w:ascii="宋体" w:hAnsi="宋体" w:cs="宋体"/>
          <w:szCs w:val="21"/>
        </w:rPr>
        <w:t>（7）售后服务计划及承诺；</w:t>
      </w:r>
    </w:p>
    <w:p>
      <w:pPr>
        <w:spacing w:line="360" w:lineRule="auto"/>
        <w:ind w:left="567" w:leftChars="270" w:firstLine="422" w:firstLineChars="201"/>
        <w:rPr>
          <w:rFonts w:ascii="宋体" w:hAnsi="宋体" w:cs="宋体"/>
          <w:szCs w:val="21"/>
        </w:rPr>
      </w:pPr>
      <w:r>
        <w:rPr>
          <w:rFonts w:hint="eastAsia" w:ascii="宋体" w:hAnsi="宋体" w:cs="宋体"/>
          <w:szCs w:val="21"/>
        </w:rPr>
        <w:t>（8）投标文件电子版一份（包括商务标、技术标、报价包的电子文档）；</w:t>
      </w:r>
    </w:p>
    <w:p>
      <w:pPr>
        <w:spacing w:line="360" w:lineRule="auto"/>
        <w:ind w:left="567" w:leftChars="270" w:firstLine="422" w:firstLineChars="201"/>
        <w:rPr>
          <w:rFonts w:ascii="宋体" w:hAnsi="宋体" w:cs="宋体"/>
          <w:szCs w:val="21"/>
        </w:rPr>
      </w:pPr>
      <w:r>
        <w:rPr>
          <w:rFonts w:hint="eastAsia"/>
        </w:rPr>
        <w:t>（9）</w:t>
      </w:r>
      <w:r>
        <w:rPr>
          <w:rFonts w:hint="eastAsia" w:ascii="宋体" w:hAnsi="宋体" w:cs="宋体"/>
          <w:szCs w:val="21"/>
        </w:rPr>
        <w:t>投标方认为有必要提供的其他材料</w:t>
      </w:r>
    </w:p>
    <w:p>
      <w:pPr>
        <w:spacing w:line="360" w:lineRule="auto"/>
        <w:ind w:left="567" w:leftChars="270" w:firstLine="424" w:firstLineChars="202"/>
        <w:rPr>
          <w:rFonts w:ascii="宋体" w:hAnsi="宋体" w:cs="宋体"/>
          <w:szCs w:val="21"/>
        </w:rPr>
      </w:pPr>
      <w:r>
        <w:rPr>
          <w:rFonts w:hint="eastAsia" w:ascii="宋体" w:hAnsi="宋体" w:cs="宋体"/>
          <w:szCs w:val="21"/>
        </w:rPr>
        <w:t>注：上述内容少于三条视为废标。</w:t>
      </w:r>
    </w:p>
    <w:p>
      <w:pPr>
        <w:spacing w:line="360" w:lineRule="auto"/>
        <w:ind w:left="141" w:leftChars="67" w:firstLine="422" w:firstLineChars="201"/>
        <w:rPr>
          <w:rFonts w:ascii="宋体" w:hAnsi="宋体" w:cs="宋体"/>
          <w:szCs w:val="21"/>
        </w:rPr>
      </w:pPr>
      <w:r>
        <w:rPr>
          <w:rFonts w:hint="eastAsia" w:ascii="宋体" w:hAnsi="宋体" w:cs="宋体"/>
          <w:szCs w:val="21"/>
        </w:rPr>
        <w:t>所有涉及价格信息的材料，如果投标单位没有将价格信息统一封装在报价包部分里，造成的价格信息泄露由投标人自行承担责任，与招标人无关。</w:t>
      </w:r>
    </w:p>
    <w:p>
      <w:pPr>
        <w:spacing w:line="360" w:lineRule="auto"/>
        <w:ind w:left="141" w:leftChars="67" w:firstLine="422" w:firstLineChars="201"/>
        <w:rPr>
          <w:rFonts w:ascii="宋体" w:hAnsi="宋体" w:cs="宋体"/>
          <w:szCs w:val="21"/>
        </w:rPr>
      </w:pPr>
      <w:r>
        <w:rPr>
          <w:rFonts w:ascii="宋体" w:hAnsi="宋体" w:cs="宋体"/>
          <w:szCs w:val="21"/>
        </w:rPr>
        <w:t>2.1.</w:t>
      </w:r>
      <w:r>
        <w:rPr>
          <w:rFonts w:hint="eastAsia" w:ascii="宋体" w:hAnsi="宋体" w:cs="宋体"/>
          <w:szCs w:val="21"/>
        </w:rPr>
        <w:t>2商务标部分主要包括但不限于下列内容：</w:t>
      </w:r>
    </w:p>
    <w:p>
      <w:pPr>
        <w:spacing w:line="360" w:lineRule="auto"/>
        <w:ind w:left="567" w:leftChars="270" w:firstLine="424" w:firstLineChars="202"/>
        <w:rPr>
          <w:rFonts w:ascii="宋体" w:hAnsi="宋体" w:cs="宋体"/>
          <w:szCs w:val="21"/>
        </w:rPr>
      </w:pPr>
      <w:r>
        <w:rPr>
          <w:rFonts w:hint="eastAsia" w:ascii="宋体" w:hAnsi="宋体" w:cs="宋体"/>
          <w:szCs w:val="21"/>
        </w:rPr>
        <w:t>（1）法人代表证或法人授权委托书，经办人、被委托人身份证复印件及社保缴纳证明复印件；</w:t>
      </w:r>
    </w:p>
    <w:p>
      <w:pPr>
        <w:spacing w:line="360" w:lineRule="auto"/>
        <w:ind w:left="567" w:leftChars="270" w:firstLine="424" w:firstLineChars="202"/>
        <w:rPr>
          <w:rFonts w:ascii="宋体" w:hAnsi="宋体" w:cs="宋体"/>
          <w:szCs w:val="21"/>
        </w:rPr>
      </w:pPr>
      <w:r>
        <w:rPr>
          <w:rFonts w:hint="eastAsia" w:ascii="宋体" w:hAnsi="宋体" w:cs="宋体"/>
          <w:szCs w:val="21"/>
        </w:rPr>
        <w:t>（2）投标方承诺函（包括保密承诺书）和反商业贿赂承诺书；</w:t>
      </w:r>
    </w:p>
    <w:p>
      <w:pPr>
        <w:spacing w:line="360" w:lineRule="auto"/>
        <w:ind w:left="567" w:leftChars="270" w:firstLine="424" w:firstLineChars="202"/>
        <w:rPr>
          <w:rFonts w:ascii="宋体" w:hAnsi="宋体" w:cs="宋体"/>
          <w:szCs w:val="21"/>
        </w:rPr>
      </w:pPr>
      <w:r>
        <w:rPr>
          <w:rFonts w:hint="eastAsia" w:ascii="宋体" w:hAnsi="宋体" w:cs="宋体"/>
          <w:szCs w:val="21"/>
        </w:rPr>
        <w:t>（3）公司简介；</w:t>
      </w:r>
    </w:p>
    <w:p>
      <w:pPr>
        <w:spacing w:line="360" w:lineRule="auto"/>
        <w:ind w:left="567" w:leftChars="270" w:firstLine="424" w:firstLineChars="202"/>
        <w:rPr>
          <w:rFonts w:ascii="宋体" w:hAnsi="宋体" w:cs="宋体"/>
          <w:szCs w:val="21"/>
        </w:rPr>
      </w:pPr>
      <w:r>
        <w:rPr>
          <w:rFonts w:hint="eastAsia" w:ascii="宋体" w:hAnsi="宋体" w:cs="宋体"/>
          <w:szCs w:val="21"/>
        </w:rPr>
        <w:t>（4）企业法人营业执照（正、副本）复印件、组织机构代码证（正、副本）复印件、税务登记证；</w:t>
      </w:r>
    </w:p>
    <w:p>
      <w:pPr>
        <w:spacing w:line="360" w:lineRule="auto"/>
        <w:ind w:left="567" w:leftChars="270" w:firstLine="424" w:firstLineChars="202"/>
        <w:rPr>
          <w:rFonts w:ascii="宋体" w:hAnsi="宋体" w:cs="宋体"/>
          <w:szCs w:val="21"/>
        </w:rPr>
      </w:pPr>
      <w:r>
        <w:rPr>
          <w:rFonts w:hint="eastAsia" w:ascii="宋体" w:hAnsi="宋体" w:cs="宋体"/>
          <w:szCs w:val="21"/>
        </w:rPr>
        <w:t>（5）产品授权证明文件（如招标技术部分有要求）</w:t>
      </w:r>
    </w:p>
    <w:p>
      <w:pPr>
        <w:spacing w:line="360" w:lineRule="auto"/>
        <w:ind w:left="567" w:leftChars="270" w:firstLine="424" w:firstLineChars="202"/>
        <w:rPr>
          <w:rFonts w:ascii="宋体" w:hAnsi="宋体" w:cs="宋体"/>
          <w:szCs w:val="21"/>
        </w:rPr>
      </w:pPr>
      <w:r>
        <w:rPr>
          <w:rFonts w:hint="eastAsia" w:ascii="宋体" w:hAnsi="宋体" w:cs="宋体"/>
          <w:szCs w:val="21"/>
        </w:rPr>
        <w:t>（6）企业资信等级证书，银行资信证明</w:t>
      </w:r>
    </w:p>
    <w:p>
      <w:pPr>
        <w:spacing w:line="360" w:lineRule="auto"/>
        <w:ind w:left="567" w:leftChars="270" w:firstLine="424" w:firstLineChars="202"/>
        <w:rPr>
          <w:rFonts w:ascii="宋体" w:hAnsi="宋体" w:cs="宋体"/>
          <w:szCs w:val="21"/>
        </w:rPr>
      </w:pPr>
      <w:r>
        <w:rPr>
          <w:rFonts w:hint="eastAsia" w:ascii="宋体" w:hAnsi="宋体" w:cs="宋体"/>
          <w:szCs w:val="21"/>
        </w:rPr>
        <w:t>（7）近三年财务状况表</w:t>
      </w:r>
    </w:p>
    <w:p>
      <w:pPr>
        <w:spacing w:line="360" w:lineRule="auto"/>
        <w:ind w:left="567" w:leftChars="270" w:firstLine="424" w:firstLineChars="202"/>
        <w:rPr>
          <w:rFonts w:ascii="宋体" w:hAnsi="宋体" w:cs="宋体"/>
          <w:szCs w:val="21"/>
        </w:rPr>
      </w:pPr>
      <w:r>
        <w:rPr>
          <w:rFonts w:hint="eastAsia" w:ascii="宋体" w:hAnsi="宋体" w:cs="宋体"/>
          <w:szCs w:val="21"/>
        </w:rPr>
        <w:t>（8）国家项目申报成功案例证明</w:t>
      </w:r>
    </w:p>
    <w:p>
      <w:pPr>
        <w:spacing w:line="360" w:lineRule="auto"/>
        <w:ind w:left="567" w:leftChars="270" w:firstLine="424" w:firstLineChars="202"/>
        <w:rPr>
          <w:rFonts w:ascii="宋体" w:hAnsi="宋体" w:cs="宋体"/>
          <w:szCs w:val="21"/>
        </w:rPr>
      </w:pPr>
      <w:r>
        <w:rPr>
          <w:rFonts w:hint="eastAsia" w:ascii="宋体" w:hAnsi="宋体" w:cs="宋体"/>
          <w:szCs w:val="21"/>
        </w:rPr>
        <w:t>（9）近三年完成的类似项目一览表（格式见本招标文件第六章附件），附合同复印件收尾页</w:t>
      </w:r>
    </w:p>
    <w:p>
      <w:pPr>
        <w:spacing w:line="360" w:lineRule="auto"/>
        <w:ind w:left="567" w:leftChars="270" w:firstLine="424" w:firstLineChars="202"/>
        <w:rPr>
          <w:rFonts w:ascii="宋体" w:hAnsi="宋体" w:cs="宋体"/>
          <w:szCs w:val="21"/>
        </w:rPr>
      </w:pPr>
      <w:r>
        <w:rPr>
          <w:rFonts w:hint="eastAsia" w:ascii="宋体" w:hAnsi="宋体" w:cs="宋体"/>
          <w:szCs w:val="21"/>
        </w:rPr>
        <w:t>（10）近年发生的重大诉讼及仲裁情况</w:t>
      </w:r>
    </w:p>
    <w:p>
      <w:pPr>
        <w:spacing w:line="360" w:lineRule="auto"/>
        <w:ind w:left="567" w:leftChars="270" w:firstLine="424" w:firstLineChars="202"/>
        <w:rPr>
          <w:rFonts w:ascii="宋体" w:hAnsi="宋体" w:cs="宋体"/>
          <w:szCs w:val="21"/>
        </w:rPr>
      </w:pPr>
      <w:r>
        <w:rPr>
          <w:rFonts w:hint="eastAsia" w:ascii="宋体" w:hAnsi="宋体" w:cs="宋体"/>
          <w:szCs w:val="21"/>
        </w:rPr>
        <w:t>（11）关于资格的声明函（格式见本招标文件第六章附件）；</w:t>
      </w:r>
    </w:p>
    <w:p>
      <w:pPr>
        <w:spacing w:line="360" w:lineRule="auto"/>
        <w:ind w:left="567" w:leftChars="270" w:firstLine="424" w:firstLineChars="202"/>
        <w:rPr>
          <w:rFonts w:ascii="宋体" w:hAnsi="宋体" w:cs="宋体"/>
          <w:szCs w:val="21"/>
        </w:rPr>
      </w:pPr>
      <w:r>
        <w:rPr>
          <w:rFonts w:hint="eastAsia" w:ascii="宋体" w:hAnsi="宋体" w:cs="宋体"/>
          <w:szCs w:val="21"/>
        </w:rPr>
        <w:t>（12）缴纳投标保证金及标书费的银行电子回单</w:t>
      </w:r>
    </w:p>
    <w:p>
      <w:pPr>
        <w:spacing w:line="360" w:lineRule="auto"/>
        <w:ind w:left="567" w:leftChars="270" w:firstLine="424" w:firstLineChars="202"/>
        <w:rPr>
          <w:rFonts w:hint="eastAsia" w:ascii="宋体" w:hAnsi="宋体" w:cs="宋体"/>
          <w:szCs w:val="21"/>
        </w:rPr>
      </w:pPr>
      <w:r>
        <w:rPr>
          <w:rFonts w:hint="eastAsia" w:ascii="宋体" w:hAnsi="宋体" w:cs="宋体"/>
          <w:szCs w:val="21"/>
        </w:rPr>
        <w:t>（13）知识产权，包括专利证书、软件著作权等，知识产权无侵权及无纠纷声明函或承诺</w:t>
      </w:r>
    </w:p>
    <w:p>
      <w:pPr>
        <w:spacing w:line="360" w:lineRule="auto"/>
        <w:ind w:left="567" w:leftChars="270" w:firstLine="424" w:firstLineChars="202"/>
        <w:rPr>
          <w:rFonts w:ascii="宋体" w:hAnsi="宋体" w:cs="宋体"/>
          <w:szCs w:val="21"/>
        </w:rPr>
      </w:pPr>
      <w:r>
        <w:rPr>
          <w:rFonts w:hint="eastAsia" w:ascii="宋体" w:hAnsi="宋体" w:cs="宋体"/>
          <w:szCs w:val="21"/>
        </w:rPr>
        <w:t>（14）投标方认为有必要提供的其他材料</w:t>
      </w:r>
    </w:p>
    <w:p>
      <w:pPr>
        <w:spacing w:line="360" w:lineRule="auto"/>
        <w:ind w:left="567" w:leftChars="270" w:firstLine="424" w:firstLineChars="202"/>
        <w:rPr>
          <w:rFonts w:ascii="宋体" w:hAnsi="宋体"/>
          <w:sz w:val="22"/>
          <w:szCs w:val="22"/>
        </w:rPr>
      </w:pPr>
      <w:r>
        <w:rPr>
          <w:rFonts w:hint="eastAsia" w:ascii="宋体" w:hAnsi="宋体" w:cs="宋体"/>
          <w:szCs w:val="21"/>
        </w:rPr>
        <w:t>注：所有复印件均需加盖单位红印章，上述内容少于三条视为废标。</w:t>
      </w:r>
    </w:p>
    <w:p>
      <w:pPr>
        <w:spacing w:line="360" w:lineRule="auto"/>
        <w:ind w:left="567" w:leftChars="270" w:firstLine="424" w:firstLineChars="202"/>
        <w:rPr>
          <w:rFonts w:ascii="宋体" w:hAnsi="宋体" w:cs="宋体"/>
          <w:szCs w:val="21"/>
        </w:rPr>
      </w:pPr>
      <w:r>
        <w:rPr>
          <w:rFonts w:hint="eastAsia" w:ascii="宋体" w:hAnsi="宋体" w:cs="宋体"/>
          <w:szCs w:val="21"/>
        </w:rPr>
        <w:t>2.1.3技术标部分主要包括但不限于下列内容：</w:t>
      </w:r>
    </w:p>
    <w:p>
      <w:pPr>
        <w:spacing w:line="360" w:lineRule="auto"/>
        <w:ind w:left="567" w:leftChars="270" w:firstLine="424" w:firstLineChars="202"/>
        <w:rPr>
          <w:rFonts w:ascii="宋体" w:hAnsi="宋体" w:cs="宋体"/>
          <w:szCs w:val="21"/>
        </w:rPr>
      </w:pPr>
      <w:r>
        <w:rPr>
          <w:rFonts w:hint="eastAsia" w:ascii="宋体" w:hAnsi="宋体" w:cs="宋体"/>
          <w:szCs w:val="21"/>
        </w:rPr>
        <w:t>（1）技术方案及主要技术数据、性能的详细描述</w:t>
      </w:r>
    </w:p>
    <w:p>
      <w:pPr>
        <w:spacing w:line="360" w:lineRule="auto"/>
        <w:ind w:left="567" w:leftChars="270" w:firstLine="424" w:firstLineChars="202"/>
        <w:rPr>
          <w:rFonts w:ascii="宋体" w:hAnsi="宋体" w:cs="宋体"/>
          <w:szCs w:val="21"/>
        </w:rPr>
      </w:pPr>
      <w:r>
        <w:rPr>
          <w:rFonts w:hint="eastAsia" w:ascii="宋体" w:hAnsi="宋体" w:cs="宋体"/>
          <w:szCs w:val="21"/>
        </w:rPr>
        <w:t>（2）所投设备按照部件组成，详细描述每个组成部件的构成，构成零配件的品牌、材质、参数、加工工艺、注明外购件还是自行加工等。</w:t>
      </w:r>
    </w:p>
    <w:p>
      <w:pPr>
        <w:spacing w:line="360" w:lineRule="auto"/>
        <w:ind w:left="567" w:leftChars="270" w:firstLine="424" w:firstLineChars="202"/>
        <w:rPr>
          <w:rFonts w:ascii="宋体" w:hAnsi="宋体" w:cs="宋体"/>
          <w:szCs w:val="21"/>
        </w:rPr>
      </w:pPr>
      <w:r>
        <w:rPr>
          <w:rFonts w:hint="eastAsia" w:ascii="宋体" w:hAnsi="宋体" w:cs="宋体"/>
          <w:szCs w:val="21"/>
        </w:rPr>
        <w:t>（3）类似产品彩页等相关介绍。</w:t>
      </w:r>
    </w:p>
    <w:p>
      <w:pPr>
        <w:spacing w:line="360" w:lineRule="auto"/>
        <w:ind w:left="567" w:leftChars="270" w:firstLine="424" w:firstLineChars="202"/>
        <w:rPr>
          <w:rFonts w:ascii="宋体" w:hAnsi="宋体" w:cs="宋体"/>
          <w:szCs w:val="21"/>
        </w:rPr>
      </w:pPr>
      <w:r>
        <w:rPr>
          <w:rFonts w:hint="eastAsia" w:ascii="宋体" w:hAnsi="宋体" w:cs="宋体"/>
          <w:szCs w:val="21"/>
        </w:rPr>
        <w:t>（4）自有机械加工设备照片，展示设备制造能力；</w:t>
      </w:r>
    </w:p>
    <w:p>
      <w:pPr>
        <w:spacing w:line="360" w:lineRule="auto"/>
        <w:ind w:left="567" w:leftChars="270" w:firstLine="424" w:firstLineChars="202"/>
        <w:rPr>
          <w:rFonts w:ascii="宋体" w:hAnsi="宋体" w:cs="宋体"/>
          <w:szCs w:val="21"/>
        </w:rPr>
      </w:pPr>
      <w:r>
        <w:rPr>
          <w:rFonts w:hint="eastAsia" w:ascii="宋体" w:hAnsi="宋体" w:cs="宋体"/>
          <w:szCs w:val="21"/>
        </w:rPr>
        <w:t>（5）设备设计制造经验及研发能力介绍；</w:t>
      </w:r>
    </w:p>
    <w:p>
      <w:pPr>
        <w:spacing w:line="360" w:lineRule="auto"/>
        <w:ind w:left="567" w:leftChars="270" w:firstLine="424" w:firstLineChars="202"/>
        <w:rPr>
          <w:rFonts w:ascii="宋体" w:hAnsi="宋体" w:cs="宋体"/>
          <w:szCs w:val="21"/>
        </w:rPr>
      </w:pPr>
      <w:r>
        <w:rPr>
          <w:rFonts w:hint="eastAsia" w:ascii="宋体" w:hAnsi="宋体" w:cs="宋体"/>
          <w:szCs w:val="21"/>
        </w:rPr>
        <w:t>（6）类似在其它用户单位使用情况照片或录像；</w:t>
      </w:r>
    </w:p>
    <w:p>
      <w:pPr>
        <w:spacing w:line="360" w:lineRule="auto"/>
        <w:ind w:left="567" w:leftChars="270" w:firstLine="424" w:firstLineChars="202"/>
        <w:rPr>
          <w:rFonts w:ascii="宋体" w:hAnsi="宋体" w:cs="宋体"/>
          <w:szCs w:val="21"/>
        </w:rPr>
      </w:pPr>
      <w:r>
        <w:rPr>
          <w:rFonts w:hint="eastAsia" w:ascii="宋体" w:hAnsi="宋体" w:cs="宋体"/>
          <w:szCs w:val="21"/>
        </w:rPr>
        <w:t>（7）关键部位细节照片及说明；</w:t>
      </w:r>
    </w:p>
    <w:p>
      <w:pPr>
        <w:spacing w:line="360" w:lineRule="auto"/>
        <w:ind w:left="567" w:leftChars="270" w:firstLine="424" w:firstLineChars="202"/>
        <w:rPr>
          <w:rFonts w:ascii="宋体" w:hAnsi="宋体" w:cs="宋体"/>
          <w:szCs w:val="21"/>
        </w:rPr>
      </w:pPr>
      <w:r>
        <w:rPr>
          <w:rFonts w:hint="eastAsia" w:ascii="宋体" w:hAnsi="宋体" w:cs="宋体"/>
          <w:szCs w:val="21"/>
        </w:rPr>
        <w:t>（8）技术偏离表</w:t>
      </w:r>
    </w:p>
    <w:p>
      <w:pPr>
        <w:spacing w:line="360" w:lineRule="auto"/>
        <w:ind w:left="567" w:leftChars="270" w:firstLine="424" w:firstLineChars="202"/>
        <w:rPr>
          <w:rFonts w:ascii="宋体" w:hAnsi="宋体" w:cs="宋体"/>
          <w:szCs w:val="21"/>
        </w:rPr>
      </w:pPr>
      <w:r>
        <w:rPr>
          <w:rFonts w:hint="eastAsia" w:ascii="宋体" w:hAnsi="宋体" w:cs="宋体"/>
          <w:szCs w:val="21"/>
        </w:rPr>
        <w:t>（9）投标方认为有必要提供的其他材料</w:t>
      </w:r>
    </w:p>
    <w:p>
      <w:pPr>
        <w:spacing w:line="360" w:lineRule="auto"/>
        <w:ind w:left="567" w:leftChars="270" w:firstLine="424" w:firstLineChars="202"/>
        <w:rPr>
          <w:rFonts w:ascii="宋体" w:hAnsi="宋体" w:cs="宋体"/>
          <w:szCs w:val="21"/>
        </w:rPr>
      </w:pPr>
      <w:r>
        <w:rPr>
          <w:rFonts w:hint="eastAsia" w:ascii="宋体" w:hAnsi="宋体" w:cs="宋体"/>
          <w:szCs w:val="21"/>
        </w:rPr>
        <w:t>注：上述内容少于三条视为废标。</w:t>
      </w:r>
    </w:p>
    <w:p>
      <w:pPr>
        <w:spacing w:line="360" w:lineRule="auto"/>
        <w:ind w:firstLine="420" w:firstLineChars="200"/>
        <w:rPr>
          <w:rFonts w:ascii="宋体" w:hAnsi="宋体" w:cs="宋体"/>
          <w:szCs w:val="21"/>
        </w:rPr>
      </w:pPr>
      <w:r>
        <w:rPr>
          <w:rFonts w:hint="eastAsia" w:ascii="宋体" w:hAnsi="宋体" w:cs="宋体"/>
          <w:szCs w:val="21"/>
        </w:rPr>
        <w:t>2.2投标文件的要求</w:t>
      </w:r>
    </w:p>
    <w:p>
      <w:pPr>
        <w:spacing w:line="360" w:lineRule="auto"/>
        <w:ind w:left="141" w:leftChars="67" w:firstLine="422" w:firstLineChars="201"/>
        <w:rPr>
          <w:rFonts w:ascii="宋体" w:hAnsi="宋体" w:cs="宋体"/>
          <w:szCs w:val="21"/>
        </w:rPr>
      </w:pPr>
      <w:r>
        <w:rPr>
          <w:rFonts w:ascii="宋体" w:hAnsi="宋体" w:cs="宋体"/>
          <w:szCs w:val="21"/>
        </w:rPr>
        <w:t>2.2.1</w:t>
      </w:r>
      <w:r>
        <w:rPr>
          <w:rFonts w:hint="eastAsia" w:ascii="宋体" w:hAnsi="宋体" w:cs="宋体"/>
          <w:szCs w:val="21"/>
        </w:rPr>
        <w:t>投标文件将作为合同附本生效。</w:t>
      </w:r>
    </w:p>
    <w:p>
      <w:pPr>
        <w:spacing w:line="360" w:lineRule="auto"/>
        <w:ind w:left="141" w:leftChars="67" w:firstLine="422" w:firstLineChars="201"/>
        <w:rPr>
          <w:rFonts w:ascii="宋体" w:hAnsi="宋体" w:cs="宋体"/>
          <w:szCs w:val="21"/>
        </w:rPr>
      </w:pPr>
      <w:r>
        <w:rPr>
          <w:rFonts w:ascii="宋体" w:hAnsi="宋体" w:cs="宋体"/>
          <w:szCs w:val="21"/>
        </w:rPr>
        <w:t>2.2.2</w:t>
      </w:r>
      <w:r>
        <w:rPr>
          <w:rFonts w:hint="eastAsia" w:ascii="宋体" w:hAnsi="宋体" w:cs="宋体"/>
          <w:szCs w:val="21"/>
        </w:rPr>
        <w:t>投标人的报价是含税价。</w:t>
      </w:r>
    </w:p>
    <w:p>
      <w:pPr>
        <w:spacing w:line="360" w:lineRule="auto"/>
        <w:ind w:left="141" w:leftChars="67" w:firstLine="422" w:firstLineChars="201"/>
        <w:rPr>
          <w:rFonts w:ascii="宋体" w:hAnsi="宋体" w:cs="宋体"/>
          <w:szCs w:val="21"/>
        </w:rPr>
      </w:pPr>
      <w:r>
        <w:rPr>
          <w:rFonts w:ascii="宋体" w:hAnsi="宋体" w:cs="宋体"/>
          <w:szCs w:val="21"/>
        </w:rPr>
        <w:t>2.2.3</w:t>
      </w:r>
      <w:r>
        <w:rPr>
          <w:rFonts w:hint="eastAsia" w:ascii="宋体" w:hAnsi="宋体" w:cs="宋体"/>
          <w:szCs w:val="21"/>
        </w:rPr>
        <w:t>投标文件一式二套，正本</w:t>
      </w:r>
      <w:r>
        <w:rPr>
          <w:rFonts w:ascii="宋体" w:hAnsi="宋体" w:cs="宋体"/>
          <w:szCs w:val="21"/>
        </w:rPr>
        <w:t>1</w:t>
      </w:r>
      <w:r>
        <w:rPr>
          <w:rFonts w:hint="eastAsia" w:ascii="宋体" w:hAnsi="宋体" w:cs="宋体"/>
          <w:szCs w:val="21"/>
        </w:rPr>
        <w:t>套，副本</w:t>
      </w:r>
      <w:r>
        <w:rPr>
          <w:rFonts w:ascii="宋体" w:hAnsi="宋体" w:cs="宋体"/>
          <w:szCs w:val="21"/>
        </w:rPr>
        <w:t>1</w:t>
      </w:r>
      <w:r>
        <w:rPr>
          <w:rFonts w:hint="eastAsia" w:ascii="宋体" w:hAnsi="宋体" w:cs="宋体"/>
          <w:szCs w:val="21"/>
        </w:rPr>
        <w:t>套，如正本和副本有差异时，以正本为准。</w:t>
      </w:r>
    </w:p>
    <w:p>
      <w:pPr>
        <w:spacing w:line="360" w:lineRule="auto"/>
        <w:ind w:left="141" w:leftChars="67" w:firstLine="422" w:firstLineChars="201"/>
        <w:rPr>
          <w:rFonts w:ascii="宋体" w:hAnsi="宋体" w:cs="宋体"/>
          <w:szCs w:val="21"/>
        </w:rPr>
      </w:pPr>
      <w:r>
        <w:rPr>
          <w:rFonts w:hint="eastAsia" w:ascii="宋体" w:hAnsi="宋体" w:cs="宋体"/>
          <w:szCs w:val="21"/>
        </w:rPr>
        <w:t>2.2.4投标人应将投标文件分别按“商务标”、“技术标”、“报价包”组卷密封，并在封袋上正确标明“商务标”、“技术标”“报价包”共计叁个标袋；所有封袋上都应写明招标人名称、项目名称、投标人名称、卷别；所有投标文件都必须在封袋上加盖投标单位公章及其法定代表人或授权委托人的印鉴或签字。</w:t>
      </w:r>
    </w:p>
    <w:p>
      <w:pPr>
        <w:spacing w:line="360" w:lineRule="auto"/>
        <w:ind w:left="141" w:leftChars="67" w:firstLine="424" w:firstLineChars="201"/>
        <w:rPr>
          <w:rFonts w:ascii="宋体" w:hAnsi="宋体" w:cs="宋体"/>
          <w:szCs w:val="21"/>
        </w:rPr>
      </w:pPr>
      <w:r>
        <w:rPr>
          <w:rFonts w:ascii="宋体" w:hAnsi="宋体" w:cs="宋体"/>
          <w:b/>
          <w:szCs w:val="21"/>
        </w:rPr>
        <w:t>3</w:t>
      </w:r>
      <w:r>
        <w:rPr>
          <w:rFonts w:hint="eastAsia" w:ascii="宋体" w:hAnsi="宋体" w:cs="宋体"/>
          <w:b/>
          <w:szCs w:val="21"/>
        </w:rPr>
        <w:t>、</w:t>
      </w:r>
      <w:r>
        <w:rPr>
          <w:rFonts w:hint="eastAsia" w:ascii="宋体" w:hAnsi="宋体" w:cs="宋体"/>
          <w:szCs w:val="21"/>
        </w:rPr>
        <w:t>以下投标文件无效，将作为废标，由投标人承担全部责任。</w:t>
      </w:r>
    </w:p>
    <w:p>
      <w:pPr>
        <w:spacing w:line="360" w:lineRule="auto"/>
        <w:ind w:left="141" w:leftChars="67" w:firstLine="567" w:firstLineChars="270"/>
        <w:rPr>
          <w:rFonts w:ascii="宋体" w:hAnsi="宋体" w:cs="宋体"/>
          <w:szCs w:val="21"/>
        </w:rPr>
      </w:pPr>
      <w:r>
        <w:rPr>
          <w:rFonts w:hint="eastAsia" w:ascii="宋体" w:hAnsi="宋体" w:cs="宋体"/>
          <w:szCs w:val="21"/>
        </w:rPr>
        <w:t>（1）开标后送达的投标文件；</w:t>
      </w:r>
    </w:p>
    <w:p>
      <w:pPr>
        <w:spacing w:line="360" w:lineRule="auto"/>
        <w:ind w:left="141" w:leftChars="67" w:firstLine="567" w:firstLineChars="270"/>
        <w:rPr>
          <w:rFonts w:ascii="宋体" w:hAnsi="宋体" w:cs="宋体"/>
          <w:szCs w:val="21"/>
        </w:rPr>
      </w:pPr>
      <w:r>
        <w:rPr>
          <w:rFonts w:hint="eastAsia" w:ascii="宋体" w:hAnsi="宋体" w:cs="宋体"/>
          <w:szCs w:val="21"/>
        </w:rPr>
        <w:t>（2）投标单位提供虚假资料、隐瞒实情、误导招标单位的；</w:t>
      </w:r>
    </w:p>
    <w:p>
      <w:pPr>
        <w:spacing w:line="360" w:lineRule="auto"/>
        <w:ind w:left="141" w:leftChars="67" w:firstLine="567" w:firstLineChars="270"/>
        <w:rPr>
          <w:rFonts w:ascii="宋体" w:hAnsi="宋体" w:cs="宋体"/>
          <w:szCs w:val="21"/>
        </w:rPr>
      </w:pPr>
      <w:r>
        <w:rPr>
          <w:rFonts w:hint="eastAsia" w:ascii="宋体" w:hAnsi="宋体" w:cs="宋体"/>
          <w:szCs w:val="21"/>
        </w:rPr>
        <w:t>（3）投标单位或其成员不正当地影响评标工作的；</w:t>
      </w:r>
    </w:p>
    <w:p>
      <w:pPr>
        <w:spacing w:line="360" w:lineRule="auto"/>
        <w:ind w:left="141" w:leftChars="67" w:firstLine="567" w:firstLineChars="270"/>
        <w:rPr>
          <w:rFonts w:ascii="宋体" w:hAnsi="宋体" w:cs="宋体"/>
          <w:szCs w:val="21"/>
        </w:rPr>
      </w:pPr>
      <w:r>
        <w:rPr>
          <w:rFonts w:hint="eastAsia" w:ascii="宋体" w:hAnsi="宋体" w:cs="宋体"/>
          <w:szCs w:val="21"/>
        </w:rPr>
        <w:t>（4）投标文件字迹潦草、涂改、模糊，无法辨认。</w:t>
      </w:r>
    </w:p>
    <w:p>
      <w:pPr>
        <w:spacing w:line="360" w:lineRule="auto"/>
        <w:ind w:left="141" w:leftChars="67" w:firstLine="567" w:firstLineChars="270"/>
        <w:rPr>
          <w:rFonts w:ascii="宋体" w:hAnsi="宋体" w:cs="宋体"/>
          <w:szCs w:val="21"/>
        </w:rPr>
      </w:pPr>
      <w:r>
        <w:rPr>
          <w:rFonts w:hint="eastAsia" w:ascii="宋体" w:hAnsi="宋体" w:cs="宋体"/>
          <w:szCs w:val="21"/>
        </w:rPr>
        <w:t>（5）商务标前，投标单位没有缴纳投标保证金的。</w:t>
      </w:r>
    </w:p>
    <w:p>
      <w:pPr>
        <w:spacing w:line="360" w:lineRule="auto"/>
        <w:ind w:left="141" w:leftChars="67" w:firstLine="424" w:firstLineChars="201"/>
        <w:rPr>
          <w:rFonts w:ascii="宋体" w:hAnsi="宋体" w:cs="宋体"/>
          <w:b/>
          <w:szCs w:val="21"/>
        </w:rPr>
      </w:pPr>
      <w:r>
        <w:rPr>
          <w:rFonts w:hint="eastAsia" w:ascii="宋体" w:hAnsi="宋体" w:cs="宋体"/>
          <w:b/>
          <w:szCs w:val="21"/>
        </w:rPr>
        <w:t>4、开标</w:t>
      </w:r>
    </w:p>
    <w:p>
      <w:pPr>
        <w:spacing w:line="360" w:lineRule="auto"/>
        <w:ind w:left="141" w:leftChars="67" w:firstLine="422" w:firstLineChars="201"/>
        <w:rPr>
          <w:rFonts w:ascii="宋体" w:hAnsi="宋体" w:cs="宋体"/>
          <w:szCs w:val="21"/>
        </w:rPr>
      </w:pPr>
      <w:r>
        <w:rPr>
          <w:rFonts w:hint="eastAsia" w:ascii="宋体" w:hAnsi="宋体" w:cs="宋体"/>
          <w:szCs w:val="21"/>
        </w:rPr>
        <w:t xml:space="preserve"> 招标方在投标邀请规定的时间和地点公开开标。投标方派代表参加。</w:t>
      </w:r>
    </w:p>
    <w:p>
      <w:pPr>
        <w:spacing w:line="360" w:lineRule="auto"/>
        <w:ind w:left="141" w:leftChars="67" w:firstLine="422" w:firstLineChars="201"/>
        <w:rPr>
          <w:rFonts w:ascii="宋体" w:hAnsi="宋体" w:cs="宋体"/>
          <w:szCs w:val="21"/>
        </w:rPr>
      </w:pPr>
      <w:r>
        <w:rPr>
          <w:rFonts w:hint="eastAsia" w:ascii="宋体" w:hAnsi="宋体" w:cs="宋体"/>
          <w:szCs w:val="21"/>
        </w:rPr>
        <w:t xml:space="preserve"> 评标委员会由招标人自行组织有关专家组成评标委员会。</w:t>
      </w:r>
    </w:p>
    <w:p>
      <w:pPr>
        <w:spacing w:line="360" w:lineRule="auto"/>
        <w:ind w:left="141" w:leftChars="67" w:firstLine="424" w:firstLineChars="201"/>
        <w:rPr>
          <w:rFonts w:ascii="宋体" w:hAnsi="宋体" w:cs="宋体"/>
          <w:b/>
          <w:szCs w:val="21"/>
        </w:rPr>
      </w:pPr>
      <w:r>
        <w:rPr>
          <w:rFonts w:hint="eastAsia" w:ascii="宋体" w:hAnsi="宋体" w:cs="宋体"/>
          <w:b/>
          <w:szCs w:val="21"/>
        </w:rPr>
        <w:t>5、评标原则及标准</w:t>
      </w:r>
    </w:p>
    <w:p>
      <w:pPr>
        <w:spacing w:line="360" w:lineRule="auto"/>
        <w:ind w:left="141" w:leftChars="67" w:firstLine="422" w:firstLineChars="201"/>
        <w:rPr>
          <w:rFonts w:ascii="宋体" w:hAnsi="宋体" w:cs="宋体"/>
          <w:szCs w:val="21"/>
        </w:rPr>
      </w:pPr>
      <w:r>
        <w:rPr>
          <w:rFonts w:hint="eastAsia" w:ascii="宋体" w:hAnsi="宋体" w:cs="宋体"/>
          <w:szCs w:val="21"/>
        </w:rPr>
        <w:t>5.1评标原则：公平、公正、科学、择优；</w:t>
      </w:r>
    </w:p>
    <w:p>
      <w:pPr>
        <w:spacing w:line="360" w:lineRule="auto"/>
        <w:ind w:left="141" w:leftChars="67" w:firstLine="422" w:firstLineChars="201"/>
        <w:rPr>
          <w:rFonts w:ascii="宋体" w:hAnsi="宋体" w:cs="宋体"/>
          <w:szCs w:val="21"/>
        </w:rPr>
      </w:pPr>
      <w:r>
        <w:rPr>
          <w:rFonts w:hint="eastAsia" w:ascii="宋体" w:hAnsi="宋体" w:cs="宋体"/>
          <w:szCs w:val="21"/>
        </w:rPr>
        <w:t>5.2评标流程及说明：</w:t>
      </w:r>
    </w:p>
    <w:p>
      <w:pPr>
        <w:spacing w:line="360" w:lineRule="auto"/>
        <w:ind w:left="141" w:leftChars="67" w:firstLine="422" w:firstLineChars="201"/>
        <w:rPr>
          <w:rFonts w:ascii="宋体" w:hAnsi="宋体" w:cs="宋体"/>
          <w:szCs w:val="21"/>
        </w:rPr>
      </w:pPr>
      <w:r>
        <w:rPr>
          <w:rFonts w:hint="eastAsia" w:ascii="宋体" w:hAnsi="宋体" w:cs="宋体"/>
          <w:szCs w:val="21"/>
        </w:rPr>
        <w:t>商务评标办法：在各投标人对招标人的技术要求确认无误且无异议后，审查合格的投标人进入开始商务评标。</w:t>
      </w:r>
    </w:p>
    <w:p>
      <w:pPr>
        <w:spacing w:line="360" w:lineRule="auto"/>
        <w:ind w:left="141" w:leftChars="67" w:firstLine="422" w:firstLineChars="201"/>
        <w:rPr>
          <w:rFonts w:ascii="宋体" w:hAnsi="宋体" w:cs="宋体"/>
          <w:szCs w:val="21"/>
        </w:rPr>
      </w:pPr>
      <w:r>
        <w:rPr>
          <w:rFonts w:hint="eastAsia" w:ascii="宋体" w:hAnsi="宋体" w:cs="宋体"/>
          <w:szCs w:val="21"/>
        </w:rPr>
        <w:t>1．公开唱标</w:t>
      </w:r>
    </w:p>
    <w:p>
      <w:pPr>
        <w:spacing w:line="360" w:lineRule="auto"/>
        <w:ind w:left="141" w:leftChars="67" w:firstLine="422" w:firstLineChars="201"/>
        <w:rPr>
          <w:rFonts w:ascii="宋体" w:hAnsi="宋体" w:cs="宋体"/>
          <w:szCs w:val="21"/>
        </w:rPr>
      </w:pPr>
      <w:r>
        <w:rPr>
          <w:rFonts w:hint="eastAsia" w:ascii="宋体" w:hAnsi="宋体" w:cs="宋体"/>
          <w:szCs w:val="21"/>
        </w:rPr>
        <w:t>各投标人现场递交投标文件，招标人将各投标人的报价情况逐一给予公开唱标，唱标结束后，投标人给予现场口头确认，如有异议，以投标人的纸质标书正本为准。</w:t>
      </w:r>
    </w:p>
    <w:p>
      <w:pPr>
        <w:spacing w:line="360" w:lineRule="auto"/>
        <w:ind w:left="141" w:leftChars="67" w:firstLine="422" w:firstLineChars="201"/>
        <w:rPr>
          <w:rFonts w:ascii="宋体" w:hAnsi="宋体" w:cs="宋体"/>
          <w:szCs w:val="21"/>
          <w:highlight w:val="none"/>
        </w:rPr>
      </w:pPr>
      <w:r>
        <w:rPr>
          <w:rFonts w:hint="eastAsia" w:ascii="宋体" w:hAnsi="宋体" w:cs="宋体"/>
          <w:szCs w:val="21"/>
          <w:highlight w:val="none"/>
        </w:rPr>
        <w:t>2.二次报价</w:t>
      </w:r>
    </w:p>
    <w:p>
      <w:pPr>
        <w:spacing w:line="360" w:lineRule="auto"/>
        <w:ind w:left="141" w:leftChars="67" w:firstLine="422" w:firstLineChars="201"/>
        <w:rPr>
          <w:rFonts w:ascii="宋体" w:hAnsi="宋体" w:cs="宋体"/>
          <w:szCs w:val="21"/>
          <w:highlight w:val="none"/>
        </w:rPr>
      </w:pPr>
      <w:r>
        <w:rPr>
          <w:rFonts w:hint="eastAsia" w:ascii="宋体" w:hAnsi="宋体" w:cs="宋体"/>
          <w:szCs w:val="21"/>
          <w:highlight w:val="none"/>
        </w:rPr>
        <w:t>唱标结束后，各投标人依据的最新技术要求，各投标人进行现场二次报价（各投标人的二次报价不再唱标、不对外公布）。</w:t>
      </w:r>
    </w:p>
    <w:p>
      <w:pPr>
        <w:spacing w:line="360" w:lineRule="auto"/>
        <w:ind w:left="141" w:leftChars="67" w:firstLine="422" w:firstLineChars="201"/>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确定</w:t>
      </w:r>
      <w:r>
        <w:rPr>
          <w:rFonts w:hint="eastAsia" w:ascii="宋体" w:hAnsi="宋体" w:cs="宋体"/>
          <w:szCs w:val="21"/>
          <w:lang w:val="en-US" w:eastAsia="zh-CN"/>
        </w:rPr>
        <w:t>预</w:t>
      </w:r>
      <w:r>
        <w:rPr>
          <w:rFonts w:hint="eastAsia" w:ascii="宋体" w:hAnsi="宋体" w:cs="宋体"/>
          <w:szCs w:val="21"/>
        </w:rPr>
        <w:t>中标人</w:t>
      </w:r>
    </w:p>
    <w:p>
      <w:pPr>
        <w:spacing w:line="360" w:lineRule="auto"/>
        <w:ind w:left="141" w:leftChars="67" w:firstLine="422" w:firstLineChars="201"/>
        <w:rPr>
          <w:rFonts w:hint="eastAsia" w:ascii="宋体" w:hAnsi="宋体" w:cs="宋体"/>
          <w:szCs w:val="21"/>
        </w:rPr>
      </w:pPr>
      <w:r>
        <w:rPr>
          <w:rFonts w:hint="eastAsia" w:ascii="宋体" w:hAnsi="宋体" w:cs="宋体"/>
          <w:szCs w:val="21"/>
        </w:rPr>
        <w:t>各投标人的二次报价完毕后，结合评标意见，由招标人将二次报价情况向公司汇报，确定预中标人（原则上推荐一家为预中标单位）（各投标人的二次报价不再唱标、不对外公布）。在确认出预中标人后，不再接受其余投标人的报价（取消预中标人资格的情况除外）；</w:t>
      </w:r>
    </w:p>
    <w:p>
      <w:pPr>
        <w:spacing w:line="360" w:lineRule="auto"/>
        <w:ind w:left="141" w:leftChars="67" w:firstLine="422" w:firstLineChars="201"/>
        <w:rPr>
          <w:rFonts w:hint="eastAsia" w:ascii="宋体" w:hAnsi="宋体" w:cs="宋体"/>
          <w:szCs w:val="21"/>
        </w:rPr>
      </w:pPr>
      <w:r>
        <w:rPr>
          <w:rFonts w:hint="eastAsia" w:ascii="宋体" w:hAnsi="宋体" w:cs="宋体"/>
          <w:szCs w:val="21"/>
        </w:rPr>
        <w:t>4商务谈判</w:t>
      </w:r>
    </w:p>
    <w:p>
      <w:pPr>
        <w:spacing w:line="360" w:lineRule="auto"/>
        <w:ind w:left="141" w:leftChars="67" w:firstLine="422" w:firstLineChars="201"/>
        <w:rPr>
          <w:rFonts w:hint="eastAsia" w:ascii="宋体" w:hAnsi="宋体" w:cs="宋体"/>
          <w:szCs w:val="21"/>
        </w:rPr>
      </w:pPr>
      <w:r>
        <w:rPr>
          <w:rFonts w:hint="eastAsia" w:ascii="宋体" w:hAnsi="宋体" w:cs="宋体"/>
          <w:szCs w:val="21"/>
        </w:rPr>
        <w:t>预中标单位确定后，招标人依据招标人的控制价格进行商务谈判，然后将商务谈判结果向公司汇报，确定中标人；在商务谈判中，若投标人的报价与招标人的控制价有较大偏离时，招标人有权取消预中标人的预中标资格，并有权与其他投标人进行洽谈，重新确认预中标单位。此控制价不对各投标人进行公开；</w:t>
      </w:r>
    </w:p>
    <w:p>
      <w:pPr>
        <w:spacing w:line="360" w:lineRule="auto"/>
        <w:ind w:left="141" w:leftChars="67" w:firstLine="422" w:firstLineChars="201"/>
        <w:rPr>
          <w:rFonts w:hint="eastAsia" w:ascii="宋体" w:hAnsi="宋体" w:cs="宋体"/>
          <w:szCs w:val="21"/>
        </w:rPr>
      </w:pPr>
      <w:r>
        <w:rPr>
          <w:rFonts w:hint="eastAsia" w:ascii="宋体" w:hAnsi="宋体" w:cs="宋体"/>
          <w:szCs w:val="21"/>
        </w:rPr>
        <w:t>5确定中标人</w:t>
      </w:r>
    </w:p>
    <w:p>
      <w:pPr>
        <w:spacing w:line="360" w:lineRule="auto"/>
        <w:ind w:left="141" w:leftChars="67" w:firstLine="422" w:firstLineChars="201"/>
        <w:rPr>
          <w:rFonts w:hint="eastAsia" w:ascii="宋体" w:hAnsi="宋体" w:cs="宋体"/>
          <w:szCs w:val="21"/>
        </w:rPr>
      </w:pPr>
      <w:r>
        <w:rPr>
          <w:rFonts w:hint="eastAsia" w:ascii="宋体" w:hAnsi="宋体" w:cs="宋体"/>
          <w:szCs w:val="21"/>
        </w:rPr>
        <w:t>招标人向中标人发布中标通知书，招标人不再另行告知。中标人在收到招标人的通知后，三个工作日内与招标方签订合同。</w:t>
      </w:r>
    </w:p>
    <w:p>
      <w:pPr>
        <w:spacing w:line="360" w:lineRule="auto"/>
        <w:ind w:left="141" w:leftChars="67" w:firstLine="422" w:firstLineChars="201"/>
        <w:rPr>
          <w:rFonts w:hint="eastAsia" w:ascii="宋体" w:hAnsi="宋体" w:cs="宋体"/>
          <w:szCs w:val="21"/>
        </w:rPr>
      </w:pPr>
      <w:r>
        <w:rPr>
          <w:rFonts w:hint="eastAsia" w:ascii="宋体" w:hAnsi="宋体" w:cs="宋体"/>
          <w:szCs w:val="21"/>
        </w:rPr>
        <w:t>上述评标办法，如有变动，以商务标开标会开始前的《招标须知》办法为准。</w:t>
      </w:r>
    </w:p>
    <w:p>
      <w:pPr>
        <w:spacing w:line="360" w:lineRule="auto"/>
        <w:ind w:left="141" w:leftChars="67" w:firstLine="424" w:firstLineChars="201"/>
        <w:rPr>
          <w:rFonts w:ascii="宋体" w:hAnsi="宋体" w:cs="宋体"/>
          <w:szCs w:val="21"/>
        </w:rPr>
      </w:pPr>
      <w:r>
        <w:rPr>
          <w:rFonts w:hint="eastAsia" w:ascii="宋体" w:hAnsi="宋体" w:cs="宋体"/>
          <w:b/>
          <w:szCs w:val="21"/>
        </w:rPr>
        <w:t>6、合同签订</w:t>
      </w:r>
    </w:p>
    <w:p>
      <w:pPr>
        <w:spacing w:line="360" w:lineRule="auto"/>
        <w:ind w:left="141" w:leftChars="67" w:firstLine="422" w:firstLineChars="201"/>
        <w:rPr>
          <w:rFonts w:ascii="宋体" w:hAnsi="宋体" w:cs="宋体"/>
          <w:szCs w:val="21"/>
        </w:rPr>
      </w:pPr>
      <w:r>
        <w:rPr>
          <w:rFonts w:hint="eastAsia" w:ascii="宋体" w:hAnsi="宋体" w:cs="宋体"/>
          <w:szCs w:val="21"/>
        </w:rPr>
        <w:t>6.1.中标人在收到招标人通知后，</w:t>
      </w:r>
      <w:r>
        <w:rPr>
          <w:rFonts w:hint="eastAsia" w:ascii="宋体" w:hAnsi="宋体" w:cs="宋体"/>
          <w:szCs w:val="21"/>
          <w:lang w:val="en-US" w:eastAsia="zh-CN"/>
        </w:rPr>
        <w:t>5</w:t>
      </w:r>
      <w:r>
        <w:rPr>
          <w:rFonts w:hint="eastAsia" w:ascii="宋体" w:hAnsi="宋体" w:cs="宋体"/>
          <w:szCs w:val="21"/>
        </w:rPr>
        <w:t>日内（由于招标人的原因除外）按招标人指定的时间、地点与招标人签订合同。若中标人在规定时间内不签订合同，招标人有权取消中标人的中标资格，并有权没收中标人的保证金。</w:t>
      </w:r>
    </w:p>
    <w:p>
      <w:pPr>
        <w:spacing w:line="360" w:lineRule="auto"/>
        <w:ind w:left="141" w:leftChars="67" w:firstLine="422" w:firstLineChars="201"/>
        <w:rPr>
          <w:rFonts w:ascii="宋体" w:hAnsi="宋体" w:cs="宋体"/>
          <w:szCs w:val="21"/>
        </w:rPr>
      </w:pPr>
      <w:r>
        <w:rPr>
          <w:rFonts w:hint="eastAsia" w:ascii="宋体" w:hAnsi="宋体" w:cs="宋体"/>
          <w:szCs w:val="21"/>
        </w:rPr>
        <w:t>6.2招标文件、中标人的投标文件及其澄清文件等，均为签订合同的依据并作为合同的附件具有同等法律效力。</w:t>
      </w:r>
    </w:p>
    <w:p>
      <w:pPr>
        <w:spacing w:line="360" w:lineRule="auto"/>
        <w:ind w:left="141" w:leftChars="67" w:firstLine="422" w:firstLineChars="201"/>
        <w:rPr>
          <w:rFonts w:ascii="宋体" w:hAnsi="宋体" w:cs="宋体"/>
          <w:szCs w:val="21"/>
        </w:rPr>
      </w:pPr>
      <w:r>
        <w:rPr>
          <w:rFonts w:hint="eastAsia" w:ascii="宋体" w:hAnsi="宋体" w:cs="宋体"/>
          <w:szCs w:val="21"/>
        </w:rPr>
        <w:t>6.3招标文件、投标文件中的售后服务承诺和评标时对投标文件质疑的澄清均应真实有效，中标人应当按照约定履行义务。如果中标人未按约定履行义务，并经中标人及招标人协商未果，招标人有权取消中标人的中标资格，并有权没收中标人的保证金。</w:t>
      </w:r>
    </w:p>
    <w:p>
      <w:pPr>
        <w:spacing w:line="360" w:lineRule="auto"/>
        <w:ind w:left="141" w:leftChars="67" w:firstLine="422" w:firstLineChars="201"/>
        <w:rPr>
          <w:rFonts w:ascii="宋体" w:hAnsi="宋体" w:cs="宋体"/>
          <w:szCs w:val="21"/>
        </w:rPr>
      </w:pPr>
      <w:r>
        <w:rPr>
          <w:rFonts w:hint="eastAsia" w:ascii="宋体" w:hAnsi="宋体" w:cs="宋体"/>
          <w:szCs w:val="21"/>
        </w:rPr>
        <w:t>6.4合同专用条款见本招标文件第五章所述。</w:t>
      </w:r>
    </w:p>
    <w:p>
      <w:pPr>
        <w:spacing w:line="360" w:lineRule="auto"/>
        <w:ind w:left="141" w:leftChars="67" w:firstLine="422" w:firstLineChars="201"/>
        <w:rPr>
          <w:rFonts w:ascii="宋体" w:hAnsi="宋体" w:cs="宋体"/>
          <w:szCs w:val="21"/>
        </w:rPr>
      </w:pPr>
    </w:p>
    <w:p>
      <w:pPr>
        <w:spacing w:line="360" w:lineRule="auto"/>
        <w:ind w:firstLine="420" w:firstLineChars="200"/>
        <w:rPr>
          <w:rFonts w:ascii="宋体" w:hAnsi="宋体" w:cs="宋体"/>
          <w:szCs w:val="21"/>
        </w:rPr>
      </w:pPr>
    </w:p>
    <w:p>
      <w:pPr>
        <w:spacing w:line="360" w:lineRule="auto"/>
        <w:jc w:val="center"/>
        <w:outlineLvl w:val="0"/>
        <w:rPr>
          <w:rFonts w:ascii="宋体" w:hAnsi="宋体" w:cs="宋体"/>
          <w:szCs w:val="21"/>
        </w:rPr>
      </w:pPr>
    </w:p>
    <w:p>
      <w:pPr>
        <w:bidi w:val="0"/>
        <w:rPr>
          <w:rFonts w:ascii="宋体" w:hAnsi="宋体" w:cs="宋体"/>
          <w:szCs w:val="21"/>
        </w:rPr>
      </w:pPr>
    </w:p>
    <w:p>
      <w:pPr>
        <w:bidi w:val="0"/>
        <w:rPr>
          <w:rFonts w:ascii="宋体" w:hAnsi="宋体" w:cs="宋体"/>
          <w:szCs w:val="21"/>
        </w:rPr>
      </w:pPr>
    </w:p>
    <w:p>
      <w:pPr>
        <w:bidi w:val="0"/>
        <w:rPr>
          <w:rFonts w:ascii="宋体" w:hAnsi="宋体" w:cs="宋体"/>
          <w:szCs w:val="21"/>
        </w:rPr>
      </w:pPr>
    </w:p>
    <w:p>
      <w:pPr>
        <w:bidi w:val="0"/>
        <w:jc w:val="left"/>
        <w:rPr>
          <w:rFonts w:ascii="宋体" w:hAnsi="宋体"/>
          <w:b/>
          <w:sz w:val="28"/>
          <w:szCs w:val="32"/>
        </w:rPr>
      </w:pPr>
      <w:r>
        <w:rPr>
          <w:rFonts w:ascii="宋体" w:hAnsi="宋体" w:cs="宋体"/>
          <w:szCs w:val="21"/>
        </w:rPr>
        <w:br w:type="page"/>
      </w:r>
      <w:bookmarkStart w:id="4" w:name="_Toc480550236"/>
      <w:r>
        <w:rPr>
          <w:rFonts w:hint="eastAsia" w:ascii="宋体" w:hAnsi="宋体"/>
          <w:b/>
          <w:sz w:val="28"/>
          <w:szCs w:val="32"/>
        </w:rPr>
        <w:t>第三章  反商业贿赂承诺函</w:t>
      </w:r>
      <w:bookmarkEnd w:id="4"/>
      <w:r>
        <w:rPr>
          <w:rFonts w:hint="eastAsia" w:ascii="宋体" w:hAnsi="宋体"/>
          <w:b/>
          <w:sz w:val="28"/>
          <w:szCs w:val="32"/>
        </w:rPr>
        <w:t>及保密承诺函</w:t>
      </w:r>
    </w:p>
    <w:p>
      <w:pPr>
        <w:rPr>
          <w:rFonts w:ascii="宋体" w:hAnsi="宋体"/>
          <w:sz w:val="20"/>
          <w:szCs w:val="21"/>
        </w:rPr>
      </w:pPr>
    </w:p>
    <w:p>
      <w:pPr>
        <w:rPr>
          <w:rFonts w:ascii="宋体" w:hAnsi="宋体"/>
          <w:sz w:val="20"/>
          <w:szCs w:val="21"/>
        </w:rPr>
      </w:pPr>
    </w:p>
    <w:p>
      <w:pPr>
        <w:rPr>
          <w:rFonts w:ascii="宋体" w:hAnsi="宋体"/>
          <w:sz w:val="20"/>
          <w:szCs w:val="21"/>
        </w:rPr>
      </w:pPr>
      <w:r>
        <w:rPr>
          <w:rFonts w:hint="eastAsia" w:ascii="宋体" w:hAnsi="宋体"/>
          <w:sz w:val="20"/>
          <w:szCs w:val="21"/>
        </w:rPr>
        <w:t xml:space="preserve">致： </w:t>
      </w:r>
    </w:p>
    <w:p>
      <w:pPr>
        <w:rPr>
          <w:rFonts w:ascii="宋体" w:hAnsi="宋体"/>
          <w:sz w:val="20"/>
          <w:szCs w:val="21"/>
        </w:rPr>
      </w:pPr>
    </w:p>
    <w:p>
      <w:pPr>
        <w:spacing w:line="360" w:lineRule="auto"/>
        <w:ind w:firstLine="400" w:firstLineChars="200"/>
        <w:rPr>
          <w:rFonts w:ascii="宋体" w:hAnsi="宋体"/>
          <w:sz w:val="20"/>
          <w:szCs w:val="21"/>
        </w:rPr>
      </w:pPr>
      <w:r>
        <w:rPr>
          <w:rFonts w:hint="eastAsia" w:ascii="宋体" w:hAnsi="宋体"/>
          <w:sz w:val="20"/>
          <w:szCs w:val="21"/>
        </w:rPr>
        <w:t>鉴于在招标人与投标人就项目采购（以下简称“合作”）的过程中，招标人或投标人（“招标人”）可能向对方（“投标人”）披露一定的招标人的机密信息、技术资料和其他信息（下称“保密信息”）。就上述信息披露事项，投标人承诺如下：</w:t>
      </w:r>
    </w:p>
    <w:p>
      <w:pPr>
        <w:spacing w:line="360" w:lineRule="auto"/>
        <w:ind w:firstLine="400" w:firstLineChars="200"/>
        <w:rPr>
          <w:rFonts w:ascii="宋体" w:hAnsi="宋体"/>
          <w:sz w:val="20"/>
          <w:szCs w:val="21"/>
        </w:rPr>
      </w:pPr>
      <w:r>
        <w:rPr>
          <w:rFonts w:hint="eastAsia" w:ascii="宋体" w:hAnsi="宋体"/>
          <w:sz w:val="20"/>
          <w:szCs w:val="21"/>
        </w:rPr>
        <w:t>第一条：投标人遵守国家和地方相关法律、法规、规定及招标人相关廉洁制度，决不为达到交易目的而向招标人人员提供、给付不正当利益或达成不正当的利益分成，决不为谋取不正当利益，诱使招标人人员接受或共同编造虚假议价资料，影响交易价格或交易达成，或将合同权利义务转移给第三方及其他损害招标人利益的行为。投标人同意抵制并向招标人举报、揭露索贿和受贿人员的行径。</w:t>
      </w:r>
    </w:p>
    <w:p>
      <w:pPr>
        <w:spacing w:line="360" w:lineRule="auto"/>
        <w:ind w:firstLine="400" w:firstLineChars="200"/>
        <w:rPr>
          <w:rFonts w:ascii="宋体" w:hAnsi="宋体"/>
          <w:sz w:val="20"/>
          <w:szCs w:val="21"/>
        </w:rPr>
      </w:pPr>
      <w:r>
        <w:rPr>
          <w:rFonts w:hint="eastAsia" w:ascii="宋体" w:hAnsi="宋体"/>
          <w:sz w:val="20"/>
          <w:szCs w:val="21"/>
        </w:rPr>
        <w:t>投标人承诺：如有违反相关廉洁制度的行为，同意按招标人的相关规定进行处罚。</w:t>
      </w:r>
    </w:p>
    <w:p>
      <w:pPr>
        <w:spacing w:line="360" w:lineRule="auto"/>
        <w:ind w:firstLine="400" w:firstLineChars="200"/>
        <w:rPr>
          <w:rFonts w:ascii="宋体" w:hAnsi="宋体"/>
          <w:sz w:val="20"/>
          <w:szCs w:val="21"/>
        </w:rPr>
      </w:pPr>
      <w:r>
        <w:rPr>
          <w:rFonts w:hint="eastAsia" w:ascii="宋体" w:hAnsi="宋体"/>
          <w:sz w:val="20"/>
          <w:szCs w:val="21"/>
        </w:rPr>
        <w:t>第二条：投标人应对招标人提供的所有保密信息严格保密，且未经招标人明确书面同意，不得向任何人披露全部或任何部分保密信息。</w:t>
      </w:r>
    </w:p>
    <w:p>
      <w:pPr>
        <w:spacing w:line="360" w:lineRule="auto"/>
        <w:ind w:firstLine="400" w:firstLineChars="200"/>
        <w:rPr>
          <w:rFonts w:ascii="宋体" w:hAnsi="宋体"/>
          <w:sz w:val="20"/>
          <w:szCs w:val="21"/>
        </w:rPr>
      </w:pPr>
      <w:r>
        <w:rPr>
          <w:rFonts w:hint="eastAsia" w:ascii="宋体" w:hAnsi="宋体"/>
          <w:sz w:val="20"/>
          <w:szCs w:val="21"/>
        </w:rPr>
        <w:t>第三条：保密信息应当包括双方所有来往信函、备忘录、摘要、研究报告、模型、信息摘要和记录，同时还应该包括所有的复印件及其他相关的复制品，而无论载体为书面、电子版本、磁盘或音像资料抑或其他任何形式。保密信息内容包括但不限于：</w:t>
      </w:r>
    </w:p>
    <w:p>
      <w:pPr>
        <w:spacing w:line="360" w:lineRule="auto"/>
        <w:ind w:firstLine="400" w:firstLineChars="200"/>
        <w:rPr>
          <w:rFonts w:ascii="宋体" w:hAnsi="宋体"/>
          <w:sz w:val="20"/>
          <w:szCs w:val="21"/>
        </w:rPr>
      </w:pPr>
      <w:r>
        <w:rPr>
          <w:rFonts w:hint="eastAsia" w:ascii="宋体" w:hAnsi="宋体"/>
          <w:sz w:val="20"/>
          <w:szCs w:val="21"/>
        </w:rPr>
        <w:t>1、管理秘密，包括但不限于招标人的财务数据、人事数据、薪酬数据。</w:t>
      </w:r>
    </w:p>
    <w:p>
      <w:pPr>
        <w:spacing w:line="360" w:lineRule="auto"/>
        <w:ind w:firstLine="400" w:firstLineChars="200"/>
        <w:rPr>
          <w:rFonts w:ascii="宋体" w:hAnsi="宋体"/>
          <w:sz w:val="20"/>
          <w:szCs w:val="21"/>
        </w:rPr>
      </w:pPr>
      <w:r>
        <w:rPr>
          <w:rFonts w:hint="eastAsia" w:ascii="宋体" w:hAnsi="宋体"/>
          <w:sz w:val="20"/>
          <w:szCs w:val="21"/>
        </w:rPr>
        <w:t>2、生产秘密，包括但不限于生产规模，设备、原料等的来源渠道、价格，生产方式，原料的质量、数量，产品的生产成本、产品的定价等。</w:t>
      </w:r>
    </w:p>
    <w:p>
      <w:pPr>
        <w:spacing w:line="360" w:lineRule="auto"/>
        <w:ind w:firstLine="400" w:firstLineChars="200"/>
        <w:rPr>
          <w:rFonts w:ascii="宋体" w:hAnsi="宋体"/>
          <w:sz w:val="20"/>
          <w:szCs w:val="21"/>
        </w:rPr>
      </w:pPr>
      <w:r>
        <w:rPr>
          <w:rFonts w:hint="eastAsia" w:ascii="宋体" w:hAnsi="宋体"/>
          <w:sz w:val="20"/>
          <w:szCs w:val="21"/>
        </w:rPr>
        <w:t>3、销售秘密，包括但不限于产品销售的渠道，客户数据，产品销售价格、地点、数量、方式。</w:t>
      </w:r>
    </w:p>
    <w:p>
      <w:pPr>
        <w:spacing w:line="360" w:lineRule="auto"/>
        <w:ind w:firstLine="400" w:firstLineChars="200"/>
        <w:rPr>
          <w:rFonts w:ascii="宋体" w:hAnsi="宋体"/>
          <w:sz w:val="20"/>
          <w:szCs w:val="21"/>
        </w:rPr>
      </w:pPr>
      <w:r>
        <w:rPr>
          <w:rFonts w:hint="eastAsia" w:ascii="宋体" w:hAnsi="宋体"/>
          <w:sz w:val="20"/>
          <w:szCs w:val="21"/>
        </w:rPr>
        <w:t>4、经营秘密，包括但不限于企业经营方针，投资决策意向，市场分析数据，市场宣传方式，融资方案。</w:t>
      </w:r>
    </w:p>
    <w:p>
      <w:pPr>
        <w:spacing w:line="360" w:lineRule="auto"/>
        <w:ind w:firstLine="400" w:firstLineChars="200"/>
        <w:rPr>
          <w:rFonts w:ascii="宋体" w:hAnsi="宋体"/>
          <w:sz w:val="20"/>
          <w:szCs w:val="21"/>
        </w:rPr>
      </w:pPr>
      <w:r>
        <w:rPr>
          <w:rFonts w:hint="eastAsia" w:ascii="宋体" w:hAnsi="宋体"/>
          <w:sz w:val="20"/>
          <w:szCs w:val="21"/>
        </w:rPr>
        <w:t>5、技术秘密，包括但不限于项目设计、图纸、工艺、技术数据、科研成果、专利数据、计算机程序。</w:t>
      </w:r>
    </w:p>
    <w:p>
      <w:pPr>
        <w:spacing w:line="360" w:lineRule="auto"/>
        <w:ind w:firstLine="400" w:firstLineChars="200"/>
        <w:rPr>
          <w:rFonts w:ascii="宋体" w:hAnsi="宋体"/>
          <w:sz w:val="20"/>
          <w:szCs w:val="21"/>
        </w:rPr>
      </w:pPr>
      <w:r>
        <w:rPr>
          <w:rFonts w:hint="eastAsia" w:ascii="宋体" w:hAnsi="宋体"/>
          <w:sz w:val="20"/>
          <w:szCs w:val="21"/>
        </w:rPr>
        <w:t>6、合作秘密，包括但不限于本次双方合作的内容、进程和任何待决或已决的意向、历  史记录等与本次合作相关的信息。</w:t>
      </w:r>
    </w:p>
    <w:p>
      <w:pPr>
        <w:spacing w:line="360" w:lineRule="auto"/>
        <w:ind w:firstLine="400" w:firstLineChars="200"/>
        <w:rPr>
          <w:rFonts w:ascii="宋体" w:hAnsi="宋体"/>
          <w:sz w:val="20"/>
          <w:szCs w:val="21"/>
        </w:rPr>
      </w:pPr>
      <w:r>
        <w:rPr>
          <w:rFonts w:hint="eastAsia" w:ascii="宋体" w:hAnsi="宋体"/>
          <w:sz w:val="20"/>
          <w:szCs w:val="21"/>
        </w:rPr>
        <w:t>7、其他秘密，包括但不限于所有通过公共渠道无法获得的以纸张、实物、磁（光）盘、磁带、仪器及以其他任何形式为载体的以及口头交流所涉及的信息。</w:t>
      </w:r>
    </w:p>
    <w:p>
      <w:pPr>
        <w:spacing w:line="360" w:lineRule="auto"/>
        <w:ind w:firstLine="400" w:firstLineChars="200"/>
        <w:rPr>
          <w:rFonts w:ascii="宋体" w:hAnsi="宋体"/>
          <w:sz w:val="20"/>
          <w:szCs w:val="21"/>
        </w:rPr>
      </w:pPr>
      <w:r>
        <w:rPr>
          <w:rFonts w:hint="eastAsia" w:ascii="宋体" w:hAnsi="宋体"/>
          <w:sz w:val="20"/>
          <w:szCs w:val="21"/>
        </w:rPr>
        <w:t>第四条：保密信息：不包括已进入公知领域的信息；不包括投标人在未对招标人或其代理人负有保密义务的情况下已事先自招标人或其代理人处获得的信息；也不包括投标人自招标人以外的未与招标人或其代理人签订保密协议或对招标人或其代理人不负有保密义务之第三人处得到的信息。</w:t>
      </w:r>
    </w:p>
    <w:p>
      <w:pPr>
        <w:spacing w:line="360" w:lineRule="auto"/>
        <w:ind w:firstLine="400" w:firstLineChars="200"/>
        <w:rPr>
          <w:rFonts w:ascii="宋体" w:hAnsi="宋体"/>
          <w:sz w:val="20"/>
          <w:szCs w:val="21"/>
        </w:rPr>
      </w:pPr>
      <w:r>
        <w:rPr>
          <w:rFonts w:hint="eastAsia" w:ascii="宋体" w:hAnsi="宋体"/>
          <w:sz w:val="20"/>
          <w:szCs w:val="21"/>
        </w:rPr>
        <w:t>第五条：在没有招标人事先书面同意的情况下，除了用于本承诺函目的之外，投标人不得为了任何目的披露或使用全部或部分保密信息。</w:t>
      </w:r>
    </w:p>
    <w:p>
      <w:pPr>
        <w:spacing w:line="360" w:lineRule="auto"/>
        <w:ind w:firstLine="400" w:firstLineChars="200"/>
        <w:rPr>
          <w:rFonts w:ascii="宋体" w:hAnsi="宋体"/>
          <w:sz w:val="20"/>
          <w:szCs w:val="21"/>
        </w:rPr>
      </w:pPr>
      <w:r>
        <w:rPr>
          <w:rFonts w:hint="eastAsia" w:ascii="宋体" w:hAnsi="宋体"/>
          <w:sz w:val="20"/>
          <w:szCs w:val="21"/>
        </w:rPr>
        <w:t>第六条：在没有招标人事先书面同意的情况下，投标人不得就本承诺函及双方于本承诺函下的合作做出任何公开声明或以任何方式与任何第三方进行任何沟通。</w:t>
      </w:r>
    </w:p>
    <w:p>
      <w:pPr>
        <w:spacing w:line="360" w:lineRule="auto"/>
        <w:ind w:firstLine="400" w:firstLineChars="200"/>
        <w:rPr>
          <w:rFonts w:ascii="宋体" w:hAnsi="宋体"/>
          <w:sz w:val="20"/>
          <w:szCs w:val="21"/>
        </w:rPr>
      </w:pPr>
      <w:r>
        <w:rPr>
          <w:rFonts w:hint="eastAsia" w:ascii="宋体" w:hAnsi="宋体"/>
          <w:sz w:val="20"/>
          <w:szCs w:val="21"/>
        </w:rPr>
        <w:t>但在下述情况下和下述范围内，本条中的规定不得妨碍任一方披露其从另一方处获得的保密信息：1）将该保密信息披露给该方的专业顾问或审计人员；2）将该保密信息披露给该方的现有或潜在股东、合伙人、股权投资者、贷款人或融资方，或任何前述各方的专业顾问；3）将该保密信息披露给需要知晓该保密信息的该方的雇员，但仅限于履行其职责所必须的范围内。</w:t>
      </w:r>
    </w:p>
    <w:p>
      <w:pPr>
        <w:spacing w:line="360" w:lineRule="auto"/>
        <w:ind w:firstLine="400" w:firstLineChars="200"/>
        <w:rPr>
          <w:rFonts w:ascii="宋体" w:hAnsi="宋体"/>
          <w:sz w:val="20"/>
          <w:szCs w:val="21"/>
        </w:rPr>
      </w:pPr>
      <w:r>
        <w:rPr>
          <w:rFonts w:hint="eastAsia" w:ascii="宋体" w:hAnsi="宋体"/>
          <w:sz w:val="20"/>
          <w:szCs w:val="21"/>
        </w:rPr>
        <w:t>但是，如果任一方根据前段披露任何保密信息，应当与被披露方签署保密协议，保证其承担与本协议下投标人相同的义务；且该协议内容应当获得招标人书面同意并于签署后向招标人提供协议副本，否则即视为投标人违约。</w:t>
      </w:r>
    </w:p>
    <w:p>
      <w:pPr>
        <w:spacing w:line="360" w:lineRule="auto"/>
        <w:ind w:firstLine="400" w:firstLineChars="200"/>
        <w:rPr>
          <w:rFonts w:ascii="宋体" w:hAnsi="宋体"/>
          <w:sz w:val="20"/>
          <w:szCs w:val="21"/>
        </w:rPr>
      </w:pPr>
      <w:r>
        <w:rPr>
          <w:rFonts w:hint="eastAsia" w:ascii="宋体" w:hAnsi="宋体"/>
          <w:sz w:val="20"/>
          <w:szCs w:val="21"/>
        </w:rPr>
        <w:t>本承诺所涉及须保密的信息保密期限为自承诺签署之日起拾年。</w:t>
      </w:r>
    </w:p>
    <w:p>
      <w:pPr>
        <w:spacing w:line="360" w:lineRule="auto"/>
        <w:ind w:firstLine="400" w:firstLineChars="200"/>
        <w:rPr>
          <w:rFonts w:ascii="宋体" w:hAnsi="宋体"/>
          <w:sz w:val="20"/>
          <w:szCs w:val="21"/>
        </w:rPr>
      </w:pPr>
      <w:r>
        <w:rPr>
          <w:rFonts w:hint="eastAsia" w:ascii="宋体" w:hAnsi="宋体"/>
          <w:sz w:val="20"/>
          <w:szCs w:val="21"/>
        </w:rPr>
        <w:t>第七条：投标人未遵守本承诺函规定的任何义务，招标人有权就全部直接和间接损失享有追偿权。</w:t>
      </w:r>
    </w:p>
    <w:p>
      <w:pPr>
        <w:spacing w:line="360" w:lineRule="auto"/>
        <w:ind w:firstLine="400" w:firstLineChars="200"/>
        <w:rPr>
          <w:rFonts w:ascii="宋体" w:hAnsi="宋体"/>
          <w:sz w:val="20"/>
          <w:szCs w:val="21"/>
        </w:rPr>
      </w:pPr>
      <w:r>
        <w:rPr>
          <w:rFonts w:hint="eastAsia" w:ascii="宋体" w:hAnsi="宋体"/>
          <w:sz w:val="20"/>
          <w:szCs w:val="21"/>
        </w:rPr>
        <w:t>损失赔偿按照如下方式计算：</w:t>
      </w:r>
    </w:p>
    <w:p>
      <w:pPr>
        <w:spacing w:line="360" w:lineRule="auto"/>
        <w:ind w:firstLine="400" w:firstLineChars="200"/>
        <w:rPr>
          <w:rFonts w:ascii="宋体" w:hAnsi="宋体"/>
          <w:sz w:val="20"/>
          <w:szCs w:val="21"/>
        </w:rPr>
      </w:pPr>
      <w:r>
        <w:rPr>
          <w:rFonts w:hint="eastAsia" w:ascii="宋体" w:hAnsi="宋体"/>
          <w:sz w:val="20"/>
          <w:szCs w:val="21"/>
        </w:rPr>
        <w:t>   ①损失赔偿为招标人因投标人的违约或侵权行为所受到的实际经济损失；</w:t>
      </w:r>
    </w:p>
    <w:p>
      <w:pPr>
        <w:spacing w:line="360" w:lineRule="auto"/>
        <w:ind w:firstLine="400" w:firstLineChars="200"/>
        <w:rPr>
          <w:rFonts w:ascii="宋体" w:hAnsi="宋体"/>
          <w:sz w:val="20"/>
          <w:szCs w:val="21"/>
        </w:rPr>
      </w:pPr>
      <w:r>
        <w:rPr>
          <w:rFonts w:hint="eastAsia" w:ascii="宋体" w:hAnsi="宋体"/>
          <w:sz w:val="20"/>
          <w:szCs w:val="21"/>
        </w:rPr>
        <w:t xml:space="preserve">   ②如果招标人的损失按照方法①所述的计算方法难以计算的，损失赔偿额为投标人因违约或侵权行为所获得的全部利润。 </w:t>
      </w:r>
    </w:p>
    <w:p>
      <w:pPr>
        <w:spacing w:line="360" w:lineRule="auto"/>
        <w:ind w:firstLine="400" w:firstLineChars="200"/>
        <w:rPr>
          <w:rFonts w:ascii="宋体" w:hAnsi="宋体"/>
          <w:sz w:val="20"/>
          <w:szCs w:val="21"/>
        </w:rPr>
      </w:pPr>
      <w:r>
        <w:rPr>
          <w:rFonts w:hint="eastAsia" w:ascii="宋体" w:hAnsi="宋体"/>
          <w:sz w:val="20"/>
          <w:szCs w:val="21"/>
        </w:rPr>
        <w:t>③招标人因调查投标人的违约或侵权行为而支付的合理费用，如律师费、公证费、取证费等，应当包含在损失赔偿额之内。</w:t>
      </w:r>
    </w:p>
    <w:p>
      <w:pPr>
        <w:spacing w:line="360" w:lineRule="auto"/>
        <w:ind w:firstLine="400" w:firstLineChars="200"/>
        <w:rPr>
          <w:rFonts w:ascii="宋体" w:hAnsi="宋体"/>
          <w:sz w:val="20"/>
          <w:szCs w:val="21"/>
        </w:rPr>
      </w:pPr>
      <w:r>
        <w:rPr>
          <w:rFonts w:hint="eastAsia" w:ascii="宋体" w:hAnsi="宋体"/>
          <w:sz w:val="20"/>
          <w:szCs w:val="21"/>
        </w:rPr>
        <w:t>若招标人损失按上述标准难以计算，则由投标人支付招标人违约金人民币壹佰万元。</w:t>
      </w:r>
    </w:p>
    <w:p>
      <w:pPr>
        <w:spacing w:line="360" w:lineRule="auto"/>
        <w:ind w:firstLine="400" w:firstLineChars="200"/>
        <w:rPr>
          <w:rFonts w:ascii="宋体" w:hAnsi="宋体"/>
          <w:sz w:val="20"/>
          <w:szCs w:val="21"/>
        </w:rPr>
      </w:pPr>
      <w:r>
        <w:rPr>
          <w:rFonts w:hint="eastAsia" w:ascii="宋体" w:hAnsi="宋体"/>
          <w:sz w:val="20"/>
          <w:szCs w:val="21"/>
        </w:rPr>
        <w:t>第八条：无论赔偿金给付与否，招标人均有权不经预告立即解除与投标人的合作关系，且有权向人民法院提起诉讼，通过司法途径解决该问题。</w:t>
      </w:r>
    </w:p>
    <w:p>
      <w:pPr>
        <w:spacing w:line="360" w:lineRule="auto"/>
        <w:ind w:firstLine="400" w:firstLineChars="200"/>
        <w:rPr>
          <w:rFonts w:ascii="宋体" w:hAnsi="宋体"/>
          <w:sz w:val="20"/>
          <w:szCs w:val="21"/>
        </w:rPr>
      </w:pPr>
      <w:r>
        <w:rPr>
          <w:rFonts w:hint="eastAsia" w:ascii="宋体" w:hAnsi="宋体"/>
          <w:sz w:val="20"/>
          <w:szCs w:val="21"/>
        </w:rPr>
        <w:t>第九条：本承诺函由中华人民共和国法律管辖并依据其解释。因履行本承诺函所发生或与本承诺函有关的争议在争议发生后六十天内未能通过协商解决的，招标人和投标人均可向招标人所在地人民法院提起诉讼。</w:t>
      </w:r>
    </w:p>
    <w:p>
      <w:pPr>
        <w:spacing w:line="360" w:lineRule="auto"/>
        <w:ind w:firstLine="400" w:firstLineChars="200"/>
        <w:rPr>
          <w:rFonts w:ascii="宋体" w:hAnsi="宋体"/>
          <w:sz w:val="20"/>
          <w:szCs w:val="21"/>
        </w:rPr>
      </w:pPr>
      <w:r>
        <w:rPr>
          <w:rFonts w:hint="eastAsia" w:ascii="宋体" w:hAnsi="宋体"/>
          <w:sz w:val="20"/>
          <w:szCs w:val="21"/>
        </w:rPr>
        <w:t>第十条：任何一方在任何时间任何期限里没有享受本协议项下的自身权利并不能解释为它已经放弃了该权利。若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w:t>
      </w:r>
    </w:p>
    <w:p>
      <w:pPr>
        <w:spacing w:line="360" w:lineRule="auto"/>
        <w:ind w:firstLine="400" w:firstLineChars="200"/>
        <w:rPr>
          <w:rFonts w:ascii="宋体" w:hAnsi="宋体"/>
          <w:sz w:val="20"/>
          <w:szCs w:val="21"/>
        </w:rPr>
      </w:pPr>
    </w:p>
    <w:p>
      <w:pPr>
        <w:spacing w:line="360" w:lineRule="auto"/>
        <w:rPr>
          <w:rFonts w:ascii="宋体" w:hAnsi="宋体"/>
          <w:sz w:val="20"/>
          <w:szCs w:val="21"/>
        </w:rPr>
      </w:pPr>
    </w:p>
    <w:p>
      <w:pPr>
        <w:spacing w:line="360" w:lineRule="auto"/>
        <w:ind w:right="420" w:firstLine="5300" w:firstLineChars="2650"/>
        <w:rPr>
          <w:rFonts w:ascii="宋体" w:hAnsi="宋体"/>
          <w:sz w:val="20"/>
          <w:szCs w:val="21"/>
        </w:rPr>
      </w:pPr>
      <w:r>
        <w:rPr>
          <w:rFonts w:hint="eastAsia" w:ascii="宋体" w:hAnsi="宋体"/>
          <w:sz w:val="20"/>
          <w:szCs w:val="21"/>
        </w:rPr>
        <w:t>投标人：（本章盖骑缝章）</w:t>
      </w:r>
    </w:p>
    <w:p>
      <w:pPr>
        <w:spacing w:line="360" w:lineRule="auto"/>
        <w:jc w:val="right"/>
        <w:rPr>
          <w:rFonts w:ascii="宋体" w:hAnsi="宋体"/>
          <w:sz w:val="20"/>
          <w:szCs w:val="21"/>
        </w:rPr>
      </w:pPr>
    </w:p>
    <w:p>
      <w:pPr>
        <w:spacing w:line="360" w:lineRule="auto"/>
        <w:ind w:right="420" w:firstLine="5300" w:firstLineChars="2650"/>
        <w:rPr>
          <w:rFonts w:ascii="宋体" w:hAnsi="宋体"/>
          <w:sz w:val="20"/>
          <w:szCs w:val="21"/>
        </w:rPr>
      </w:pPr>
      <w:r>
        <w:rPr>
          <w:rFonts w:hint="eastAsia" w:ascii="宋体" w:hAnsi="宋体"/>
          <w:sz w:val="20"/>
          <w:szCs w:val="21"/>
        </w:rPr>
        <w:t>授权代表：（签名）</w:t>
      </w:r>
    </w:p>
    <w:p>
      <w:pPr>
        <w:spacing w:line="360" w:lineRule="auto"/>
        <w:jc w:val="right"/>
        <w:rPr>
          <w:rFonts w:ascii="宋体" w:hAnsi="宋体"/>
          <w:sz w:val="20"/>
          <w:szCs w:val="21"/>
        </w:rPr>
      </w:pPr>
    </w:p>
    <w:p>
      <w:pPr>
        <w:wordWrap w:val="0"/>
        <w:spacing w:line="360" w:lineRule="auto"/>
        <w:ind w:right="420"/>
        <w:jc w:val="center"/>
        <w:rPr>
          <w:rFonts w:ascii="宋体" w:hAnsi="宋体"/>
          <w:sz w:val="20"/>
          <w:szCs w:val="21"/>
        </w:rPr>
      </w:pPr>
      <w:r>
        <w:rPr>
          <w:rFonts w:hint="eastAsia" w:ascii="宋体" w:hAnsi="宋体"/>
          <w:sz w:val="20"/>
          <w:szCs w:val="21"/>
        </w:rPr>
        <w:t xml:space="preserve">                                                 日期：   年  月  日</w:t>
      </w:r>
    </w:p>
    <w:p>
      <w:pPr>
        <w:spacing w:line="480" w:lineRule="auto"/>
        <w:rPr>
          <w:rFonts w:ascii="宋体" w:hAnsi="宋体" w:cs="宋体"/>
          <w:sz w:val="22"/>
        </w:rPr>
      </w:pPr>
    </w:p>
    <w:p>
      <w:pPr>
        <w:spacing w:line="480" w:lineRule="auto"/>
        <w:rPr>
          <w:rFonts w:ascii="宋体" w:hAnsi="宋体" w:cs="宋体"/>
          <w:sz w:val="22"/>
        </w:rPr>
      </w:pPr>
    </w:p>
    <w:p>
      <w:pPr>
        <w:pStyle w:val="4"/>
        <w:rPr>
          <w:rFonts w:ascii="宋体" w:hAnsi="宋体" w:cs="宋体"/>
          <w:sz w:val="22"/>
        </w:rPr>
      </w:pPr>
    </w:p>
    <w:p>
      <w:pPr>
        <w:rPr>
          <w:rFonts w:ascii="宋体" w:hAnsi="宋体" w:cs="宋体"/>
          <w:sz w:val="22"/>
        </w:rPr>
      </w:pPr>
    </w:p>
    <w:p>
      <w:pPr>
        <w:pStyle w:val="4"/>
        <w:rPr>
          <w:rFonts w:ascii="宋体" w:hAnsi="宋体" w:cs="宋体"/>
          <w:sz w:val="22"/>
        </w:rPr>
      </w:pPr>
    </w:p>
    <w:p/>
    <w:p>
      <w:pPr>
        <w:spacing w:line="360" w:lineRule="auto"/>
        <w:jc w:val="center"/>
        <w:outlineLvl w:val="0"/>
        <w:rPr>
          <w:rFonts w:ascii="黑体" w:hAnsi="宋体" w:eastAsia="黑体" w:cs="宋体"/>
          <w:b/>
          <w:sz w:val="30"/>
          <w:szCs w:val="30"/>
        </w:rPr>
      </w:pPr>
      <w:bookmarkStart w:id="5" w:name="_Toc480550237"/>
    </w:p>
    <w:p>
      <w:pPr>
        <w:spacing w:line="360" w:lineRule="auto"/>
        <w:jc w:val="center"/>
        <w:outlineLvl w:val="0"/>
        <w:rPr>
          <w:rFonts w:ascii="黑体" w:hAnsi="宋体" w:eastAsia="黑体" w:cs="宋体"/>
          <w:b/>
          <w:sz w:val="30"/>
          <w:szCs w:val="30"/>
        </w:rPr>
      </w:pPr>
      <w:r>
        <w:rPr>
          <w:rFonts w:hint="eastAsia" w:ascii="黑体" w:hAnsi="宋体" w:eastAsia="黑体" w:cs="宋体"/>
          <w:b/>
          <w:sz w:val="30"/>
          <w:szCs w:val="30"/>
        </w:rPr>
        <w:t>第四章招标内容及要求</w:t>
      </w:r>
      <w:bookmarkEnd w:id="5"/>
    </w:p>
    <w:p>
      <w:pPr>
        <w:spacing w:line="480" w:lineRule="auto"/>
        <w:rPr>
          <w:bCs/>
          <w:szCs w:val="21"/>
        </w:rPr>
      </w:pPr>
    </w:p>
    <w:p>
      <w:pPr>
        <w:spacing w:line="360" w:lineRule="auto"/>
        <w:ind w:firstLine="422" w:firstLineChars="200"/>
        <w:rPr>
          <w:szCs w:val="21"/>
        </w:rPr>
      </w:pPr>
      <w:r>
        <w:rPr>
          <w:rFonts w:hint="eastAsia" w:ascii="宋体" w:hAnsi="宋体" w:cs="宋体"/>
          <w:b/>
          <w:szCs w:val="21"/>
        </w:rPr>
        <w:t>招标项目名称：</w:t>
      </w:r>
      <w:r>
        <w:rPr>
          <w:rFonts w:hint="eastAsia" w:ascii="宋体" w:hAnsi="宋体" w:eastAsia="宋体" w:cs="宋体"/>
          <w:sz w:val="21"/>
          <w:szCs w:val="21"/>
          <w:lang w:eastAsia="zh-CN"/>
        </w:rPr>
        <w:t>宝应产业园</w:t>
      </w:r>
      <w:r>
        <w:rPr>
          <w:rFonts w:hint="eastAsia" w:ascii="宋体" w:hAnsi="宋体" w:eastAsia="宋体" w:cs="宋体"/>
          <w:sz w:val="21"/>
          <w:szCs w:val="21"/>
        </w:rPr>
        <w:t>项目</w:t>
      </w:r>
    </w:p>
    <w:p>
      <w:pPr>
        <w:spacing w:line="360" w:lineRule="auto"/>
        <w:ind w:firstLine="422" w:firstLineChars="200"/>
        <w:rPr>
          <w:rFonts w:ascii="宋体" w:hAnsi="宋体" w:cs="宋体"/>
          <w:b/>
          <w:szCs w:val="21"/>
        </w:rPr>
      </w:pPr>
      <w:r>
        <w:rPr>
          <w:rFonts w:hint="eastAsia" w:ascii="宋体" w:hAnsi="宋体" w:cs="宋体"/>
          <w:b/>
          <w:szCs w:val="21"/>
        </w:rPr>
        <w:t>招标设备名称及数量：</w:t>
      </w:r>
    </w:p>
    <w:tbl>
      <w:tblPr>
        <w:tblStyle w:val="33"/>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1982"/>
        <w:gridCol w:w="1830"/>
        <w:gridCol w:w="670"/>
        <w:gridCol w:w="1109"/>
        <w:gridCol w:w="2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9000" w:type="dxa"/>
            <w:gridSpan w:val="6"/>
            <w:vAlign w:val="center"/>
          </w:tcPr>
          <w:p>
            <w:pPr>
              <w:jc w:val="left"/>
              <w:rPr>
                <w:rFonts w:hint="eastAsia" w:ascii="宋体" w:hAnsi="宋体" w:eastAsia="宋体" w:cs="宋体"/>
                <w:b/>
                <w:bCs/>
                <w:sz w:val="18"/>
                <w:szCs w:val="22"/>
                <w:lang w:val="en-US" w:eastAsia="zh-CN"/>
              </w:rPr>
            </w:pPr>
            <w:r>
              <w:rPr>
                <w:rFonts w:hint="eastAsia" w:ascii="宋体" w:hAnsi="宋体" w:eastAsia="宋体" w:cs="宋体"/>
                <w:sz w:val="21"/>
                <w:szCs w:val="21"/>
                <w:lang w:eastAsia="zh-CN"/>
              </w:rPr>
              <w:t>宝应产业园</w:t>
            </w:r>
            <w:r>
              <w:rPr>
                <w:rFonts w:hint="eastAsia" w:ascii="宋体" w:hAnsi="宋体" w:eastAsia="宋体" w:cs="宋体"/>
                <w:sz w:val="21"/>
                <w:szCs w:val="21"/>
              </w:rPr>
              <w:t>项目</w:t>
            </w:r>
            <w:r>
              <w:rPr>
                <w:rFonts w:hint="eastAsia" w:ascii="宋体" w:hAnsi="宋体" w:cs="宋体"/>
                <w:sz w:val="21"/>
                <w:szCs w:val="21"/>
                <w:lang w:val="en-US" w:eastAsia="zh-CN"/>
              </w:rPr>
              <w:t>-楼承板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476" w:type="dxa"/>
            <w:vAlign w:val="center"/>
          </w:tcPr>
          <w:p>
            <w:pPr>
              <w:jc w:val="center"/>
              <w:rPr>
                <w:rFonts w:ascii="宋体" w:hAnsi="宋体" w:cs="宋体"/>
                <w:b/>
                <w:bCs/>
                <w:sz w:val="18"/>
                <w:szCs w:val="22"/>
              </w:rPr>
            </w:pPr>
            <w:r>
              <w:rPr>
                <w:rFonts w:hint="eastAsia" w:ascii="宋体" w:hAnsi="宋体" w:cs="宋体"/>
                <w:b/>
                <w:bCs/>
                <w:sz w:val="18"/>
                <w:szCs w:val="22"/>
              </w:rPr>
              <w:t>序号</w:t>
            </w:r>
          </w:p>
        </w:tc>
        <w:tc>
          <w:tcPr>
            <w:tcW w:w="1982" w:type="dxa"/>
            <w:vAlign w:val="center"/>
          </w:tcPr>
          <w:p>
            <w:pPr>
              <w:jc w:val="center"/>
              <w:rPr>
                <w:rFonts w:ascii="宋体" w:hAnsi="宋体" w:cs="宋体"/>
                <w:bCs/>
                <w:sz w:val="18"/>
                <w:szCs w:val="22"/>
              </w:rPr>
            </w:pPr>
            <w:r>
              <w:rPr>
                <w:rFonts w:hint="eastAsia" w:ascii="宋体" w:hAnsi="宋体" w:cs="宋体"/>
                <w:b/>
                <w:bCs/>
                <w:sz w:val="18"/>
                <w:szCs w:val="22"/>
              </w:rPr>
              <w:t>名称</w:t>
            </w:r>
          </w:p>
        </w:tc>
        <w:tc>
          <w:tcPr>
            <w:tcW w:w="1830" w:type="dxa"/>
            <w:vAlign w:val="center"/>
          </w:tcPr>
          <w:p>
            <w:pPr>
              <w:jc w:val="center"/>
              <w:rPr>
                <w:rFonts w:hint="eastAsia" w:ascii="宋体" w:hAnsi="宋体" w:eastAsia="宋体" w:cs="宋体"/>
                <w:bCs/>
                <w:sz w:val="18"/>
                <w:szCs w:val="22"/>
                <w:lang w:val="en-US" w:eastAsia="zh-CN"/>
              </w:rPr>
            </w:pPr>
            <w:r>
              <w:rPr>
                <w:rFonts w:hint="eastAsia" w:ascii="宋体" w:hAnsi="宋体" w:cs="宋体"/>
                <w:b/>
                <w:bCs w:val="0"/>
                <w:sz w:val="18"/>
                <w:szCs w:val="22"/>
                <w:lang w:val="en-US" w:eastAsia="zh-CN"/>
              </w:rPr>
              <w:t>规格型号</w:t>
            </w:r>
          </w:p>
        </w:tc>
        <w:tc>
          <w:tcPr>
            <w:tcW w:w="670" w:type="dxa"/>
            <w:vAlign w:val="center"/>
          </w:tcPr>
          <w:p>
            <w:pPr>
              <w:jc w:val="center"/>
              <w:rPr>
                <w:rFonts w:hint="eastAsia" w:ascii="宋体" w:hAnsi="宋体" w:eastAsia="宋体" w:cs="宋体"/>
                <w:bCs/>
                <w:sz w:val="18"/>
                <w:szCs w:val="22"/>
                <w:lang w:eastAsia="zh-CN"/>
              </w:rPr>
            </w:pPr>
            <w:r>
              <w:rPr>
                <w:rFonts w:hint="eastAsia" w:ascii="宋体" w:hAnsi="宋体" w:cs="宋体"/>
                <w:b/>
                <w:bCs w:val="0"/>
                <w:sz w:val="18"/>
                <w:szCs w:val="22"/>
                <w:lang w:eastAsia="zh-CN"/>
              </w:rPr>
              <w:t>单位</w:t>
            </w:r>
          </w:p>
        </w:tc>
        <w:tc>
          <w:tcPr>
            <w:tcW w:w="1109" w:type="dxa"/>
            <w:vAlign w:val="center"/>
          </w:tcPr>
          <w:p>
            <w:pPr>
              <w:jc w:val="center"/>
              <w:rPr>
                <w:rFonts w:hint="eastAsia" w:ascii="宋体" w:hAnsi="宋体" w:eastAsia="宋体" w:cs="宋体"/>
                <w:b/>
                <w:bCs/>
                <w:sz w:val="18"/>
                <w:szCs w:val="22"/>
                <w:lang w:eastAsia="zh-CN"/>
              </w:rPr>
            </w:pPr>
            <w:r>
              <w:rPr>
                <w:rFonts w:hint="eastAsia" w:ascii="宋体" w:hAnsi="宋体" w:cs="宋体"/>
                <w:b/>
                <w:bCs/>
                <w:sz w:val="18"/>
                <w:szCs w:val="22"/>
                <w:lang w:eastAsia="zh-CN"/>
              </w:rPr>
              <w:t>数量</w:t>
            </w:r>
          </w:p>
        </w:tc>
        <w:tc>
          <w:tcPr>
            <w:tcW w:w="2933" w:type="dxa"/>
            <w:vAlign w:val="center"/>
          </w:tcPr>
          <w:p>
            <w:pPr>
              <w:jc w:val="center"/>
              <w:rPr>
                <w:rFonts w:ascii="宋体" w:hAnsi="宋体" w:cs="宋体"/>
                <w:b/>
                <w:bCs/>
                <w:sz w:val="18"/>
                <w:szCs w:val="22"/>
              </w:rPr>
            </w:pPr>
            <w:r>
              <w:rPr>
                <w:rFonts w:hint="eastAsia" w:ascii="宋体" w:hAnsi="宋体" w:cs="宋体"/>
                <w:b/>
                <w:bCs/>
                <w:sz w:val="18"/>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76" w:type="dxa"/>
            <w:shd w:val="clear" w:color="auto" w:fill="FFFFFF"/>
            <w:vAlign w:val="center"/>
          </w:tcPr>
          <w:p>
            <w:pPr>
              <w:keepNext w:val="0"/>
              <w:keepLines w:val="0"/>
              <w:widowControl/>
              <w:suppressLineNumbers w:val="0"/>
              <w:jc w:val="center"/>
              <w:textAlignment w:val="center"/>
              <w:rPr>
                <w:b/>
                <w:bCs/>
              </w:rPr>
            </w:pPr>
            <w:r>
              <w:rPr>
                <w:rFonts w:hint="eastAsia" w:ascii="宋体" w:hAnsi="宋体" w:eastAsia="宋体" w:cs="宋体"/>
                <w:i w:val="0"/>
                <w:color w:val="000000"/>
                <w:kern w:val="0"/>
                <w:sz w:val="16"/>
                <w:szCs w:val="16"/>
                <w:u w:val="none"/>
                <w:lang w:val="en-US" w:eastAsia="zh-CN" w:bidi="ar"/>
              </w:rPr>
              <w:t>1</w:t>
            </w:r>
          </w:p>
        </w:tc>
        <w:tc>
          <w:tcPr>
            <w:tcW w:w="1982" w:type="dxa"/>
            <w:shd w:val="clear" w:color="auto" w:fill="FFFFFF"/>
            <w:vAlign w:val="center"/>
          </w:tcPr>
          <w:p>
            <w:pPr>
              <w:keepNext w:val="0"/>
              <w:keepLines w:val="0"/>
              <w:widowControl/>
              <w:suppressLineNumbers w:val="0"/>
              <w:jc w:val="center"/>
              <w:textAlignment w:val="center"/>
              <w:rPr>
                <w:rFonts w:hint="eastAsia" w:eastAsia="宋体"/>
                <w:b w:val="0"/>
                <w:bCs w:val="0"/>
                <w:sz w:val="18"/>
                <w:szCs w:val="18"/>
                <w:lang w:eastAsia="zh-CN"/>
              </w:rPr>
            </w:pPr>
            <w:r>
              <w:rPr>
                <w:rFonts w:hint="eastAsia" w:eastAsia="宋体"/>
                <w:b w:val="0"/>
                <w:bCs w:val="0"/>
                <w:sz w:val="18"/>
                <w:szCs w:val="18"/>
                <w:lang w:eastAsia="zh-CN"/>
              </w:rPr>
              <w:t>楼承板</w:t>
            </w:r>
          </w:p>
        </w:tc>
        <w:tc>
          <w:tcPr>
            <w:tcW w:w="183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YX76-295-880*1.0</w:t>
            </w:r>
          </w:p>
        </w:tc>
        <w:tc>
          <w:tcPr>
            <w:tcW w:w="67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0"/>
                <w:sz w:val="15"/>
                <w:szCs w:val="15"/>
                <w:u w:val="none"/>
                <w:lang w:val="en-US" w:eastAsia="zh-CN" w:bidi="ar"/>
              </w:rPr>
              <w:t>米</w:t>
            </w:r>
          </w:p>
        </w:tc>
        <w:tc>
          <w:tcPr>
            <w:tcW w:w="1109"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21759.46</w:t>
            </w:r>
          </w:p>
        </w:tc>
        <w:tc>
          <w:tcPr>
            <w:tcW w:w="2933" w:type="dxa"/>
            <w:shd w:val="clear" w:color="auto" w:fill="FFFFFF"/>
            <w:vAlign w:val="center"/>
          </w:tcPr>
          <w:p>
            <w:pPr>
              <w:keepNext w:val="0"/>
              <w:keepLines w:val="0"/>
              <w:widowControl/>
              <w:suppressLineNumbers w:val="0"/>
              <w:jc w:val="center"/>
              <w:textAlignment w:val="center"/>
              <w:rPr>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476" w:type="dxa"/>
            <w:shd w:val="clear" w:color="auto" w:fill="FFFFFF"/>
            <w:vAlign w:val="center"/>
          </w:tcPr>
          <w:p>
            <w:pPr>
              <w:keepNext w:val="0"/>
              <w:keepLines w:val="0"/>
              <w:widowControl/>
              <w:suppressLineNumbers w:val="0"/>
              <w:jc w:val="center"/>
              <w:textAlignment w:val="center"/>
              <w:rPr>
                <w:b/>
                <w:bCs/>
                <w:szCs w:val="21"/>
              </w:rPr>
            </w:pPr>
            <w:r>
              <w:rPr>
                <w:rFonts w:hint="eastAsia" w:ascii="宋体" w:hAnsi="宋体" w:eastAsia="宋体" w:cs="宋体"/>
                <w:i w:val="0"/>
                <w:color w:val="000000"/>
                <w:kern w:val="0"/>
                <w:sz w:val="16"/>
                <w:szCs w:val="16"/>
                <w:u w:val="none"/>
                <w:lang w:val="en-US" w:eastAsia="zh-CN" w:bidi="ar"/>
              </w:rPr>
              <w:t>2</w:t>
            </w:r>
          </w:p>
        </w:tc>
        <w:tc>
          <w:tcPr>
            <w:tcW w:w="1982"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边模板</w:t>
            </w:r>
          </w:p>
        </w:tc>
        <w:tc>
          <w:tcPr>
            <w:tcW w:w="183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PL2.0</w:t>
            </w:r>
          </w:p>
        </w:tc>
        <w:tc>
          <w:tcPr>
            <w:tcW w:w="67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cs="宋体"/>
                <w:i w:val="0"/>
                <w:iCs w:val="0"/>
                <w:color w:val="000000"/>
                <w:kern w:val="2"/>
                <w:sz w:val="15"/>
                <w:szCs w:val="15"/>
                <w:u w:val="none"/>
                <w:lang w:val="en-US" w:eastAsia="zh-CN" w:bidi="ar-SA"/>
              </w:rPr>
              <w:t>吨</w:t>
            </w:r>
          </w:p>
        </w:tc>
        <w:tc>
          <w:tcPr>
            <w:tcW w:w="1109"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4.79</w:t>
            </w:r>
            <w:r>
              <w:rPr>
                <w:rFonts w:hint="eastAsia" w:ascii="宋体" w:hAnsi="宋体" w:cs="宋体"/>
                <w:i w:val="0"/>
                <w:iCs w:val="0"/>
                <w:color w:val="000000"/>
                <w:kern w:val="0"/>
                <w:sz w:val="22"/>
                <w:szCs w:val="22"/>
                <w:u w:val="none"/>
                <w:lang w:val="en-US" w:eastAsia="zh-CN" w:bidi="ar"/>
              </w:rPr>
              <w:t>4</w:t>
            </w:r>
          </w:p>
        </w:tc>
        <w:tc>
          <w:tcPr>
            <w:tcW w:w="2933" w:type="dxa"/>
            <w:shd w:val="clear" w:color="auto" w:fill="FFFFFF"/>
            <w:vAlign w:val="center"/>
          </w:tcPr>
          <w:p>
            <w:pPr>
              <w:keepNext w:val="0"/>
              <w:keepLines w:val="0"/>
              <w:widowControl/>
              <w:suppressLineNumbers w:val="0"/>
              <w:jc w:val="center"/>
              <w:textAlignment w:val="center"/>
              <w:rPr>
                <w:rFonts w:ascii="宋体" w:hAnsi="宋体" w:cs="宋体"/>
                <w:b w:val="0"/>
                <w:bCs w:val="0"/>
                <w:sz w:val="18"/>
                <w:szCs w:val="22"/>
              </w:rPr>
            </w:pPr>
          </w:p>
        </w:tc>
      </w:tr>
    </w:tbl>
    <w:p>
      <w:pPr>
        <w:pStyle w:val="4"/>
        <w:rPr>
          <w:rFonts w:hint="eastAsia"/>
          <w:lang w:eastAsia="zh-CN"/>
        </w:rPr>
      </w:pPr>
    </w:p>
    <w:p>
      <w:pPr>
        <w:spacing w:line="360" w:lineRule="auto"/>
        <w:rPr>
          <w:rFonts w:hint="eastAsia"/>
          <w:b/>
          <w:bCs/>
          <w:color w:val="000000" w:themeColor="text1"/>
          <w:u w:val="single"/>
          <w:lang w:eastAsia="zh-CN"/>
          <w14:textFill>
            <w14:solidFill>
              <w14:schemeClr w14:val="tx1"/>
            </w14:solidFill>
          </w14:textFill>
        </w:rPr>
      </w:pPr>
      <w:r>
        <w:rPr>
          <w:rFonts w:hint="eastAsia"/>
          <w:b/>
          <w:bCs/>
          <w:color w:val="000000" w:themeColor="text1"/>
          <w:u w:val="single"/>
          <w:lang w:eastAsia="zh-CN"/>
          <w14:textFill>
            <w14:solidFill>
              <w14:schemeClr w14:val="tx1"/>
            </w14:solidFill>
          </w14:textFill>
        </w:rPr>
        <w:t>技术要求：</w:t>
      </w:r>
    </w:p>
    <w:p>
      <w:pPr>
        <w:spacing w:line="360" w:lineRule="auto"/>
        <w:rPr>
          <w:rFonts w:hint="eastAsia"/>
          <w:lang w:eastAsia="zh-CN"/>
        </w:rPr>
      </w:pPr>
      <w:r>
        <w:rPr>
          <w:rFonts w:hint="eastAsia"/>
          <w:b/>
          <w:bCs/>
          <w:color w:val="000000" w:themeColor="text1"/>
          <w:u w:val="single"/>
          <w:lang w:eastAsia="zh-CN"/>
          <w14:textFill>
            <w14:solidFill>
              <w14:schemeClr w14:val="tx1"/>
            </w14:solidFill>
          </w14:textFill>
        </w:rPr>
        <w:t>详见图纸</w:t>
      </w:r>
    </w:p>
    <w:p>
      <w:pPr>
        <w:spacing w:line="360" w:lineRule="auto"/>
        <w:rPr>
          <w:rFonts w:hint="eastAsia"/>
          <w:color w:val="000000" w:themeColor="text1"/>
          <w:u w:val="single"/>
          <w14:textFill>
            <w14:solidFill>
              <w14:schemeClr w14:val="tx1"/>
            </w14:solidFill>
          </w14:textFill>
        </w:rPr>
      </w:pPr>
      <w:r>
        <w:rPr>
          <w:rFonts w:hint="eastAsia"/>
          <w:b/>
          <w:bCs/>
          <w:color w:val="000000" w:themeColor="text1"/>
          <w:u w:val="none"/>
          <w14:textFill>
            <w14:solidFill>
              <w14:schemeClr w14:val="tx1"/>
            </w14:solidFill>
          </w14:textFill>
        </w:rPr>
        <w:t>报价方式:</w:t>
      </w:r>
      <w:r>
        <w:rPr>
          <w:rFonts w:hint="eastAsia"/>
          <w:color w:val="000000" w:themeColor="text1"/>
          <w:u w:val="single"/>
          <w14:textFill>
            <w14:solidFill>
              <w14:schemeClr w14:val="tx1"/>
            </w14:solidFill>
          </w14:textFill>
        </w:rPr>
        <w:t>至用户</w:t>
      </w:r>
      <w:r>
        <w:rPr>
          <w:rFonts w:hint="eastAsia"/>
          <w:color w:val="000000" w:themeColor="text1"/>
          <w:u w:val="single"/>
          <w:lang w:eastAsia="zh-CN"/>
          <w14:textFill>
            <w14:solidFill>
              <w14:schemeClr w14:val="tx1"/>
            </w14:solidFill>
          </w14:textFill>
        </w:rPr>
        <w:t>公司</w:t>
      </w:r>
      <w:r>
        <w:rPr>
          <w:rFonts w:hint="eastAsia"/>
          <w:color w:val="000000" w:themeColor="text1"/>
          <w:u w:val="single"/>
          <w14:textFill>
            <w14:solidFill>
              <w14:schemeClr w14:val="tx1"/>
            </w14:solidFill>
          </w14:textFill>
        </w:rPr>
        <w:t>（</w:t>
      </w:r>
      <w:r>
        <w:rPr>
          <w:rFonts w:hint="eastAsia"/>
          <w:color w:val="000000" w:themeColor="text1"/>
          <w:u w:val="single"/>
          <w:lang w:eastAsia="zh-CN"/>
          <w14:textFill>
            <w14:solidFill>
              <w14:schemeClr w14:val="tx1"/>
            </w14:solidFill>
          </w14:textFill>
        </w:rPr>
        <w:t>辰胜集成科技股份有限公司</w:t>
      </w:r>
      <w:r>
        <w:rPr>
          <w:rFonts w:hint="eastAsia"/>
          <w:color w:val="000000" w:themeColor="text1"/>
          <w:u w:val="single"/>
          <w14:textFill>
            <w14:solidFill>
              <w14:schemeClr w14:val="tx1"/>
            </w14:solidFill>
          </w14:textFill>
        </w:rPr>
        <w:t xml:space="preserve">   江苏宝应）人民币含税价（13%增值税）。总价中包含产品费用、包装费、运输费、保险费、技术支持费、售后服务费、相关资料与材料费、税金等一切费用。</w:t>
      </w:r>
    </w:p>
    <w:p>
      <w:pPr>
        <w:keepNext w:val="0"/>
        <w:keepLines w:val="0"/>
        <w:pageBreakBefore w:val="0"/>
        <w:widowControl w:val="0"/>
        <w:kinsoku/>
        <w:wordWrap/>
        <w:overflowPunct/>
        <w:topLinePunct w:val="0"/>
        <w:bidi w:val="0"/>
        <w:snapToGrid/>
        <w:spacing w:line="520" w:lineRule="exact"/>
        <w:jc w:val="both"/>
        <w:textAlignment w:val="auto"/>
        <w:rPr>
          <w:rFonts w:hint="eastAsia"/>
          <w:color w:val="000000" w:themeColor="text1"/>
          <w:u w:val="single"/>
          <w14:textFill>
            <w14:solidFill>
              <w14:schemeClr w14:val="tx1"/>
            </w14:solidFill>
          </w14:textFill>
        </w:rPr>
      </w:pPr>
      <w:r>
        <w:rPr>
          <w:rFonts w:hint="eastAsia"/>
          <w:b/>
          <w:bCs/>
          <w:color w:val="000000" w:themeColor="text1"/>
          <w:u w:val="none"/>
          <w14:textFill>
            <w14:solidFill>
              <w14:schemeClr w14:val="tx1"/>
            </w14:solidFill>
          </w14:textFill>
        </w:rPr>
        <w:t>付款方式：</w:t>
      </w:r>
      <w:r>
        <w:rPr>
          <w:rFonts w:hint="eastAsia" w:ascii="宋体" w:hAnsi="宋体"/>
          <w:sz w:val="22"/>
          <w:szCs w:val="22"/>
          <w:u w:val="single"/>
          <w:lang w:eastAsia="zh-CN"/>
        </w:rPr>
        <w:t>合同签订三个工作日支付</w:t>
      </w:r>
      <w:r>
        <w:rPr>
          <w:rFonts w:hint="eastAsia" w:ascii="宋体" w:hAnsi="宋体"/>
          <w:sz w:val="22"/>
          <w:szCs w:val="22"/>
          <w:u w:val="single"/>
          <w:lang w:val="en-US" w:eastAsia="zh-CN"/>
        </w:rPr>
        <w:t>30%预付款，</w:t>
      </w:r>
      <w:r>
        <w:rPr>
          <w:rFonts w:hint="eastAsia" w:ascii="宋体" w:hAnsi="宋体"/>
          <w:sz w:val="22"/>
          <w:szCs w:val="22"/>
          <w:u w:val="single"/>
        </w:rPr>
        <w:t>货到工地验收合格后提供增值税发票入账后15日付款</w:t>
      </w:r>
      <w:r>
        <w:rPr>
          <w:rFonts w:hint="eastAsia"/>
          <w:color w:val="000000" w:themeColor="text1"/>
          <w:u w:val="single"/>
          <w14:textFill>
            <w14:solidFill>
              <w14:schemeClr w14:val="tx1"/>
            </w14:solidFill>
          </w14:textFill>
        </w:rPr>
        <w:t>。卖方在发货时同时提供全额增值税发票（13%），具体以中标通知书的数额为准。</w:t>
      </w:r>
    </w:p>
    <w:p>
      <w:pPr>
        <w:spacing w:line="360" w:lineRule="auto"/>
        <w:rPr>
          <w:rFonts w:hint="eastAsia"/>
          <w:color w:val="000000" w:themeColor="text1"/>
          <w:u w:val="single"/>
          <w14:textFill>
            <w14:solidFill>
              <w14:schemeClr w14:val="tx1"/>
            </w14:solidFill>
          </w14:textFill>
        </w:rPr>
      </w:pPr>
      <w:r>
        <w:rPr>
          <w:rFonts w:hint="eastAsia"/>
          <w:b/>
          <w:bCs/>
          <w:color w:val="000000" w:themeColor="text1"/>
          <w:u w:val="none"/>
          <w14:textFill>
            <w14:solidFill>
              <w14:schemeClr w14:val="tx1"/>
            </w14:solidFill>
          </w14:textFill>
        </w:rPr>
        <w:t>支付方式：</w:t>
      </w:r>
      <w:r>
        <w:rPr>
          <w:rFonts w:hint="eastAsia"/>
          <w:color w:val="000000" w:themeColor="text1"/>
          <w:u w:val="single"/>
          <w14:textFill>
            <w14:solidFill>
              <w14:schemeClr w14:val="tx1"/>
            </w14:solidFill>
          </w14:textFill>
        </w:rPr>
        <w:t>电汇或承兑汇票</w:t>
      </w:r>
    </w:p>
    <w:p>
      <w:pPr>
        <w:spacing w:line="360" w:lineRule="auto"/>
        <w:rPr>
          <w:rFonts w:hint="eastAsia"/>
          <w:color w:val="000000" w:themeColor="text1"/>
          <w:u w:val="single"/>
          <w14:textFill>
            <w14:solidFill>
              <w14:schemeClr w14:val="tx1"/>
            </w14:solidFill>
          </w14:textFill>
        </w:rPr>
      </w:pPr>
      <w:r>
        <w:rPr>
          <w:rFonts w:hint="eastAsia"/>
          <w:b/>
          <w:bCs/>
          <w:color w:val="000000" w:themeColor="text1"/>
          <w:u w:val="none"/>
          <w14:textFill>
            <w14:solidFill>
              <w14:schemeClr w14:val="tx1"/>
            </w14:solidFill>
          </w14:textFill>
        </w:rPr>
        <w:t>交货期：</w:t>
      </w:r>
      <w:r>
        <w:rPr>
          <w:rFonts w:hint="eastAsia"/>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15-20</w:t>
      </w:r>
      <w:r>
        <w:rPr>
          <w:rFonts w:hint="eastAsia"/>
          <w:color w:val="000000" w:themeColor="text1"/>
          <w:u w:val="single"/>
          <w14:textFill>
            <w14:solidFill>
              <w14:schemeClr w14:val="tx1"/>
            </w14:solidFill>
          </w14:textFill>
        </w:rPr>
        <w:t>天。</w:t>
      </w:r>
    </w:p>
    <w:p>
      <w:pPr>
        <w:spacing w:line="360" w:lineRule="auto"/>
        <w:rPr>
          <w:rFonts w:hint="eastAsia"/>
          <w:color w:val="000000" w:themeColor="text1"/>
          <w:u w:val="single"/>
          <w14:textFill>
            <w14:solidFill>
              <w14:schemeClr w14:val="tx1"/>
            </w14:solidFill>
          </w14:textFill>
        </w:rPr>
      </w:pPr>
      <w:r>
        <w:rPr>
          <w:rFonts w:hint="eastAsia"/>
          <w:b/>
          <w:bCs/>
          <w:color w:val="000000" w:themeColor="text1"/>
          <w:u w:val="none"/>
          <w14:textFill>
            <w14:solidFill>
              <w14:schemeClr w14:val="tx1"/>
            </w14:solidFill>
          </w14:textFill>
        </w:rPr>
        <w:t>交货地点：</w:t>
      </w:r>
      <w:r>
        <w:rPr>
          <w:rFonts w:hint="eastAsia"/>
          <w:color w:val="000000" w:themeColor="text1"/>
          <w:u w:val="single"/>
          <w14:textFill>
            <w14:solidFill>
              <w14:schemeClr w14:val="tx1"/>
            </w14:solidFill>
          </w14:textFill>
        </w:rPr>
        <w:t>至用户</w:t>
      </w:r>
      <w:r>
        <w:rPr>
          <w:rFonts w:hint="eastAsia"/>
          <w:color w:val="000000" w:themeColor="text1"/>
          <w:u w:val="single"/>
          <w:lang w:eastAsia="zh-CN"/>
          <w14:textFill>
            <w14:solidFill>
              <w14:schemeClr w14:val="tx1"/>
            </w14:solidFill>
          </w14:textFill>
        </w:rPr>
        <w:t>项目</w:t>
      </w:r>
      <w:r>
        <w:rPr>
          <w:rFonts w:hint="eastAsia"/>
          <w:color w:val="000000" w:themeColor="text1"/>
          <w:u w:val="single"/>
          <w14:textFill>
            <w14:solidFill>
              <w14:schemeClr w14:val="tx1"/>
            </w14:solidFill>
          </w14:textFill>
        </w:rPr>
        <w:t>（江苏宝应）。</w:t>
      </w:r>
    </w:p>
    <w:p>
      <w:pPr>
        <w:spacing w:line="360" w:lineRule="auto"/>
        <w:rPr>
          <w:rFonts w:hint="eastAsia"/>
          <w:color w:val="000000" w:themeColor="text1"/>
          <w:u w:val="single"/>
          <w14:textFill>
            <w14:solidFill>
              <w14:schemeClr w14:val="tx1"/>
            </w14:solidFill>
          </w14:textFill>
        </w:rPr>
      </w:pPr>
      <w:r>
        <w:rPr>
          <w:rFonts w:hint="eastAsia"/>
          <w:b/>
          <w:bCs/>
          <w:color w:val="000000" w:themeColor="text1"/>
          <w:u w:val="single"/>
          <w14:textFill>
            <w14:solidFill>
              <w14:schemeClr w14:val="tx1"/>
            </w14:solidFill>
          </w14:textFill>
        </w:rPr>
        <w:t>质量及包修期限</w:t>
      </w:r>
      <w:r>
        <w:rPr>
          <w:rFonts w:hint="eastAsia"/>
          <w:color w:val="000000" w:themeColor="text1"/>
          <w:u w:val="single"/>
          <w14:textFill>
            <w14:solidFill>
              <w14:schemeClr w14:val="tx1"/>
            </w14:solidFill>
          </w14:textFill>
        </w:rPr>
        <w:t>：质保期为</w:t>
      </w:r>
      <w:r>
        <w:rPr>
          <w:rFonts w:hint="eastAsia"/>
          <w:color w:val="000000" w:themeColor="text1"/>
          <w:u w:val="single"/>
          <w:lang w:val="en-US" w:eastAsia="zh-CN"/>
          <w14:textFill>
            <w14:solidFill>
              <w14:schemeClr w14:val="tx1"/>
            </w14:solidFill>
          </w14:textFill>
        </w:rPr>
        <w:t>2</w:t>
      </w:r>
      <w:r>
        <w:rPr>
          <w:rFonts w:hint="eastAsia"/>
          <w:color w:val="000000" w:themeColor="text1"/>
          <w:u w:val="single"/>
          <w14:textFill>
            <w14:solidFill>
              <w14:schemeClr w14:val="tx1"/>
            </w14:solidFill>
          </w14:textFill>
        </w:rPr>
        <w:t>年，其他以技术要求中内容为准</w:t>
      </w:r>
    </w:p>
    <w:p>
      <w:pPr>
        <w:spacing w:line="360" w:lineRule="auto"/>
        <w:rPr>
          <w:rFonts w:hint="eastAsia"/>
          <w:color w:val="000000" w:themeColor="text1"/>
          <w:u w:val="single"/>
          <w14:textFill>
            <w14:solidFill>
              <w14:schemeClr w14:val="tx1"/>
            </w14:solidFill>
          </w14:textFill>
        </w:rPr>
      </w:pPr>
      <w:r>
        <w:rPr>
          <w:rFonts w:hint="eastAsia"/>
          <w:b/>
          <w:bCs/>
          <w:color w:val="000000" w:themeColor="text1"/>
          <w:u w:val="single"/>
          <w14:textFill>
            <w14:solidFill>
              <w14:schemeClr w14:val="tx1"/>
            </w14:solidFill>
          </w14:textFill>
        </w:rPr>
        <w:t>售后服务响应时间</w:t>
      </w:r>
      <w:r>
        <w:rPr>
          <w:rFonts w:hint="eastAsia"/>
          <w:color w:val="000000" w:themeColor="text1"/>
          <w:u w:val="single"/>
          <w14:textFill>
            <w14:solidFill>
              <w14:schemeClr w14:val="tx1"/>
            </w14:solidFill>
          </w14:textFill>
        </w:rPr>
        <w:t>：当出现问题时，24个小时内赶到现场。</w:t>
      </w:r>
    </w:p>
    <w:p>
      <w:pPr>
        <w:spacing w:line="360" w:lineRule="auto"/>
        <w:rPr>
          <w:rFonts w:hint="eastAsia"/>
          <w:color w:val="000000" w:themeColor="text1"/>
          <w:u w:val="single"/>
          <w14:textFill>
            <w14:solidFill>
              <w14:schemeClr w14:val="tx1"/>
            </w14:solidFill>
          </w14:textFill>
        </w:rPr>
      </w:pPr>
      <w:r>
        <w:rPr>
          <w:rFonts w:hint="eastAsia"/>
          <w:b/>
          <w:bCs/>
          <w:color w:val="000000" w:themeColor="text1"/>
          <w:u w:val="single"/>
          <w14:textFill>
            <w14:solidFill>
              <w14:schemeClr w14:val="tx1"/>
            </w14:solidFill>
          </w14:textFill>
        </w:rPr>
        <w:t>技术描述及内容</w:t>
      </w:r>
      <w:r>
        <w:rPr>
          <w:rFonts w:hint="eastAsia"/>
          <w:color w:val="000000" w:themeColor="text1"/>
          <w:u w:val="single"/>
          <w14:textFill>
            <w14:solidFill>
              <w14:schemeClr w14:val="tx1"/>
            </w14:solidFill>
          </w14:textFill>
        </w:rPr>
        <w:t>：以技术要求中为准</w:t>
      </w:r>
    </w:p>
    <w:p>
      <w:pPr>
        <w:spacing w:line="360" w:lineRule="auto"/>
        <w:rPr>
          <w:rFonts w:hint="eastAsia"/>
          <w:color w:val="000000" w:themeColor="text1"/>
          <w:u w:val="single"/>
          <w14:textFill>
            <w14:solidFill>
              <w14:schemeClr w14:val="tx1"/>
            </w14:solidFill>
          </w14:textFill>
        </w:rPr>
      </w:pPr>
    </w:p>
    <w:p>
      <w:pPr>
        <w:spacing w:line="360" w:lineRule="auto"/>
        <w:rPr>
          <w:rFonts w:hint="eastAsia"/>
          <w:b/>
          <w:bCs/>
          <w:color w:val="000000" w:themeColor="text1"/>
          <w:u w:val="single"/>
          <w14:textFill>
            <w14:solidFill>
              <w14:schemeClr w14:val="tx1"/>
            </w14:solidFill>
          </w14:textFill>
        </w:rPr>
      </w:pPr>
      <w:r>
        <w:rPr>
          <w:rFonts w:hint="eastAsia"/>
          <w:b/>
          <w:bCs/>
          <w:color w:val="000000" w:themeColor="text1"/>
          <w:u w:val="single"/>
          <w14:textFill>
            <w14:solidFill>
              <w14:schemeClr w14:val="tx1"/>
            </w14:solidFill>
          </w14:textFill>
        </w:rPr>
        <w:t>以上信息如与技术要求稿矛盾的，以技术要求稿的内容为准。</w:t>
      </w:r>
    </w:p>
    <w:p>
      <w:pPr>
        <w:rPr>
          <w:szCs w:val="21"/>
        </w:rPr>
      </w:pPr>
      <w:r>
        <w:rPr>
          <w:szCs w:val="21"/>
        </w:rPr>
        <w:br w:type="page"/>
      </w:r>
    </w:p>
    <w:p>
      <w:pPr>
        <w:numPr>
          <w:ilvl w:val="0"/>
          <w:numId w:val="1"/>
        </w:numPr>
        <w:jc w:val="center"/>
        <w:rPr>
          <w:rFonts w:hint="eastAsia" w:ascii="黑体" w:hAnsi="宋体" w:eastAsia="黑体" w:cs="宋体"/>
          <w:b/>
          <w:kern w:val="2"/>
          <w:sz w:val="30"/>
          <w:szCs w:val="30"/>
          <w:lang w:val="en-US" w:eastAsia="zh-CN" w:bidi="ar-SA"/>
        </w:rPr>
      </w:pPr>
      <w:bookmarkStart w:id="6" w:name="_Toc480550238"/>
      <w:r>
        <w:rPr>
          <w:rFonts w:hint="eastAsia" w:ascii="黑体" w:hAnsi="宋体" w:eastAsia="黑体" w:cs="宋体"/>
          <w:b/>
          <w:sz w:val="30"/>
          <w:szCs w:val="30"/>
        </w:rPr>
        <w:t xml:space="preserve"> </w:t>
      </w:r>
      <w:bookmarkEnd w:id="6"/>
      <w:r>
        <w:rPr>
          <w:rFonts w:hint="eastAsia" w:ascii="黑体" w:hAnsi="宋体" w:eastAsia="黑体" w:cs="宋体"/>
          <w:b/>
          <w:sz w:val="30"/>
          <w:szCs w:val="30"/>
        </w:rPr>
        <w:t>合同模板</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szCs w:val="21"/>
        </w:rPr>
      </w:pPr>
      <w:r>
        <w:rPr>
          <w:rFonts w:hint="eastAsia" w:ascii="宋体" w:hAnsi="宋体"/>
          <w:szCs w:val="21"/>
        </w:rPr>
        <w:t>说明：以上条款，若与买卖双</w:t>
      </w:r>
      <w:r>
        <w:rPr>
          <w:rFonts w:hint="eastAsia" w:ascii="宋体" w:hAnsi="宋体"/>
          <w:szCs w:val="21"/>
          <w:lang w:val="en-US" w:eastAsia="zh-CN"/>
        </w:rPr>
        <w:t>a</w:t>
      </w:r>
      <w:r>
        <w:rPr>
          <w:rFonts w:hint="eastAsia" w:ascii="宋体" w:hAnsi="宋体"/>
          <w:szCs w:val="21"/>
        </w:rPr>
        <w:t>方签订的实际合同相矛盾的，以实际合同为准。</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rPr>
        <w:t>采 购 合 同</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sz w:val="28"/>
          <w:szCs w:val="28"/>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sz w:val="22"/>
          <w:szCs w:val="22"/>
          <w:u w:val="single"/>
        </w:rPr>
      </w:pPr>
      <w:r>
        <w:rPr>
          <w:rFonts w:hint="eastAsia" w:ascii="宋体" w:hAnsi="宋体"/>
          <w:sz w:val="22"/>
          <w:szCs w:val="22"/>
        </w:rPr>
        <w:t>买方</w:t>
      </w:r>
      <w:r>
        <w:rPr>
          <w:rFonts w:hint="eastAsia" w:ascii="宋体" w:hAnsi="宋体"/>
          <w:bCs/>
          <w:sz w:val="22"/>
          <w:szCs w:val="22"/>
        </w:rPr>
        <w:t>：</w:t>
      </w:r>
      <w:r>
        <w:rPr>
          <w:rFonts w:hint="eastAsia" w:ascii="宋体" w:hAnsi="宋体"/>
          <w:bCs/>
          <w:sz w:val="22"/>
          <w:szCs w:val="22"/>
          <w:u w:val="single"/>
          <w:lang w:eastAsia="zh-CN"/>
        </w:rPr>
        <w:t>辰胜</w:t>
      </w:r>
      <w:r>
        <w:rPr>
          <w:rFonts w:hint="eastAsia" w:ascii="宋体" w:hAnsi="宋体"/>
          <w:bCs/>
          <w:sz w:val="22"/>
          <w:szCs w:val="22"/>
          <w:u w:val="single"/>
        </w:rPr>
        <w:t>集成科技股份有限公司</w:t>
      </w:r>
      <w:r>
        <w:rPr>
          <w:rFonts w:ascii="宋体" w:hAnsi="宋体"/>
          <w:b/>
          <w:sz w:val="22"/>
          <w:szCs w:val="22"/>
          <w:u w:val="single"/>
        </w:rPr>
        <w:t xml:space="preserve">    </w:t>
      </w:r>
      <w:r>
        <w:rPr>
          <w:rFonts w:ascii="宋体" w:hAnsi="宋体"/>
          <w:b/>
          <w:sz w:val="22"/>
          <w:szCs w:val="22"/>
        </w:rPr>
        <w:t xml:space="preserve">            </w:t>
      </w:r>
      <w:r>
        <w:rPr>
          <w:rFonts w:hint="eastAsia" w:ascii="宋体" w:hAnsi="宋体"/>
          <w:b/>
          <w:sz w:val="22"/>
          <w:szCs w:val="22"/>
        </w:rPr>
        <w:t xml:space="preserve">  </w:t>
      </w:r>
      <w:r>
        <w:rPr>
          <w:rFonts w:hint="eastAsia" w:ascii="宋体" w:hAnsi="宋体"/>
          <w:b/>
          <w:sz w:val="22"/>
          <w:szCs w:val="22"/>
          <w:lang w:val="en-US" w:eastAsia="zh-CN"/>
        </w:rPr>
        <w:t xml:space="preserve">     </w:t>
      </w:r>
      <w:r>
        <w:rPr>
          <w:rFonts w:hint="eastAsia" w:ascii="宋体" w:hAnsi="宋体"/>
          <w:b/>
          <w:sz w:val="22"/>
          <w:szCs w:val="22"/>
        </w:rPr>
        <w:t xml:space="preserve"> </w:t>
      </w:r>
      <w:r>
        <w:rPr>
          <w:rFonts w:hint="eastAsia" w:ascii="宋体" w:hAnsi="宋体"/>
          <w:sz w:val="22"/>
          <w:szCs w:val="22"/>
        </w:rPr>
        <w:t>合同编号：</w:t>
      </w:r>
      <w:r>
        <w:rPr>
          <w:rFonts w:hint="eastAsia" w:ascii="宋体" w:hAnsi="宋体"/>
          <w:sz w:val="22"/>
          <w:szCs w:val="22"/>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sz w:val="22"/>
          <w:szCs w:val="22"/>
        </w:rPr>
      </w:pPr>
      <w:r>
        <w:rPr>
          <w:rFonts w:hint="eastAsia" w:ascii="宋体" w:hAnsi="宋体"/>
          <w:sz w:val="22"/>
          <w:szCs w:val="22"/>
        </w:rPr>
        <w:t>卖方：</w:t>
      </w:r>
      <w:r>
        <w:rPr>
          <w:rFonts w:hint="eastAsia" w:ascii="宋体" w:hAnsi="宋体"/>
          <w:sz w:val="22"/>
          <w:szCs w:val="22"/>
          <w:u w:val="single"/>
        </w:rPr>
        <w:t xml:space="preserve"> </w:t>
      </w:r>
      <w:r>
        <w:rPr>
          <w:rFonts w:hint="eastAsia" w:ascii="宋体" w:hAnsi="宋体"/>
          <w:sz w:val="22"/>
          <w:szCs w:val="22"/>
          <w:u w:val="single"/>
          <w:lang w:val="en-US" w:eastAsia="zh-CN"/>
        </w:rPr>
        <w:t xml:space="preserve">                     </w:t>
      </w:r>
      <w:r>
        <w:rPr>
          <w:rFonts w:ascii="宋体" w:hAnsi="宋体"/>
          <w:sz w:val="22"/>
          <w:szCs w:val="22"/>
          <w:u w:val="single"/>
        </w:rPr>
        <w:t xml:space="preserve">      </w:t>
      </w:r>
      <w:r>
        <w:rPr>
          <w:rFonts w:hint="eastAsia" w:ascii="宋体" w:hAnsi="宋体"/>
          <w:sz w:val="22"/>
          <w:szCs w:val="22"/>
        </w:rPr>
        <w:t xml:space="preserve">                 </w:t>
      </w:r>
      <w:r>
        <w:rPr>
          <w:rFonts w:hint="eastAsia" w:ascii="宋体" w:hAnsi="宋体"/>
          <w:sz w:val="22"/>
          <w:szCs w:val="22"/>
          <w:lang w:val="en-US" w:eastAsia="zh-CN"/>
        </w:rPr>
        <w:t xml:space="preserve">   </w:t>
      </w:r>
      <w:r>
        <w:rPr>
          <w:rFonts w:hint="eastAsia" w:ascii="宋体" w:hAnsi="宋体"/>
          <w:sz w:val="22"/>
          <w:szCs w:val="22"/>
        </w:rPr>
        <w:t>签订地点：</w:t>
      </w:r>
      <w:r>
        <w:rPr>
          <w:rFonts w:hint="eastAsia" w:ascii="宋体" w:hAnsi="宋体"/>
          <w:sz w:val="22"/>
          <w:szCs w:val="22"/>
          <w:u w:val="single"/>
        </w:rPr>
        <w:t xml:space="preserve">   江苏省宝应县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sz w:val="22"/>
          <w:szCs w:val="22"/>
        </w:rPr>
      </w:pPr>
      <w:r>
        <w:rPr>
          <w:rFonts w:hint="eastAsia" w:ascii="宋体" w:hAnsi="宋体"/>
          <w:sz w:val="22"/>
          <w:szCs w:val="22"/>
        </w:rPr>
        <w:t xml:space="preserve">                      </w:t>
      </w:r>
      <w:r>
        <w:rPr>
          <w:rFonts w:hint="eastAsia" w:ascii="宋体" w:hAnsi="宋体"/>
          <w:sz w:val="22"/>
          <w:szCs w:val="22"/>
          <w:lang w:val="en-US" w:eastAsia="zh-CN"/>
        </w:rPr>
        <w:t xml:space="preserve">                                </w:t>
      </w:r>
      <w:r>
        <w:rPr>
          <w:rFonts w:hint="eastAsia" w:ascii="宋体" w:hAnsi="宋体"/>
          <w:sz w:val="22"/>
          <w:szCs w:val="22"/>
        </w:rPr>
        <w:t>签订时间：</w:t>
      </w:r>
      <w:r>
        <w:rPr>
          <w:rFonts w:hint="eastAsia" w:ascii="宋体" w:hAnsi="宋体"/>
          <w:sz w:val="22"/>
          <w:szCs w:val="22"/>
          <w:u w:val="single"/>
        </w:rPr>
        <w:t xml:space="preserve"> 20</w:t>
      </w:r>
      <w:r>
        <w:rPr>
          <w:rFonts w:hint="eastAsia" w:ascii="宋体" w:hAnsi="宋体"/>
          <w:sz w:val="22"/>
          <w:szCs w:val="22"/>
          <w:u w:val="single"/>
          <w:lang w:val="en-US" w:eastAsia="zh-CN"/>
        </w:rPr>
        <w:t xml:space="preserve">25 </w:t>
      </w:r>
      <w:r>
        <w:rPr>
          <w:rFonts w:hint="eastAsia" w:ascii="宋体" w:hAnsi="宋体"/>
          <w:sz w:val="22"/>
          <w:szCs w:val="22"/>
        </w:rPr>
        <w:t>年</w:t>
      </w:r>
      <w:r>
        <w:rPr>
          <w:rFonts w:hint="eastAsia" w:ascii="宋体" w:hAnsi="宋体"/>
          <w:sz w:val="22"/>
          <w:szCs w:val="22"/>
          <w:u w:val="single"/>
          <w:lang w:val="en-US" w:eastAsia="zh-CN"/>
        </w:rPr>
        <w:t>12</w:t>
      </w:r>
      <w:r>
        <w:rPr>
          <w:rFonts w:hint="eastAsia" w:ascii="宋体" w:hAnsi="宋体"/>
          <w:sz w:val="22"/>
          <w:szCs w:val="22"/>
        </w:rPr>
        <w:t>月</w:t>
      </w:r>
      <w:r>
        <w:rPr>
          <w:rFonts w:hint="eastAsia" w:ascii="宋体" w:hAnsi="宋体"/>
          <w:sz w:val="22"/>
          <w:szCs w:val="22"/>
          <w:u w:val="single"/>
          <w:lang w:val="en-US" w:eastAsia="zh-CN"/>
        </w:rPr>
        <w:t>3</w:t>
      </w:r>
      <w:r>
        <w:rPr>
          <w:rFonts w:hint="eastAsia" w:ascii="宋体" w:hAnsi="宋体"/>
          <w:sz w:val="22"/>
          <w:szCs w:val="22"/>
        </w:rPr>
        <w:t>日</w:t>
      </w:r>
    </w:p>
    <w:p>
      <w:pPr>
        <w:keepNext w:val="0"/>
        <w:keepLines w:val="0"/>
        <w:pageBreakBefore w:val="0"/>
        <w:widowControl w:val="0"/>
        <w:kinsoku/>
        <w:wordWrap/>
        <w:overflowPunct/>
        <w:topLinePunct w:val="0"/>
        <w:autoSpaceDE/>
        <w:autoSpaceDN/>
        <w:bidi w:val="0"/>
        <w:adjustRightInd/>
        <w:snapToGrid/>
        <w:spacing w:line="520" w:lineRule="exact"/>
        <w:ind w:firstLine="440" w:firstLineChars="200"/>
        <w:textAlignment w:val="auto"/>
        <w:rPr>
          <w:rFonts w:hint="eastAsia" w:ascii="宋体" w:hAnsi="宋体"/>
          <w:sz w:val="22"/>
          <w:szCs w:val="22"/>
        </w:rPr>
      </w:pPr>
      <w:r>
        <w:rPr>
          <w:rFonts w:hint="eastAsia" w:ascii="宋体" w:hAnsi="宋体"/>
          <w:sz w:val="22"/>
          <w:szCs w:val="22"/>
        </w:rPr>
        <w:t>第一条：标的、数量、价款及交货时间 ：</w:t>
      </w:r>
    </w:p>
    <w:tbl>
      <w:tblPr>
        <w:tblStyle w:val="33"/>
        <w:tblW w:w="10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17"/>
        <w:gridCol w:w="2268"/>
        <w:gridCol w:w="840"/>
        <w:gridCol w:w="1409"/>
        <w:gridCol w:w="1134"/>
        <w:gridCol w:w="1417"/>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29" w:type="dxa"/>
            <w:noWrap w:val="0"/>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序号</w:t>
            </w:r>
          </w:p>
        </w:tc>
        <w:tc>
          <w:tcPr>
            <w:tcW w:w="1417" w:type="dxa"/>
            <w:noWrap w:val="0"/>
            <w:vAlign w:val="center"/>
          </w:tcPr>
          <w:p>
            <w:pPr>
              <w:spacing w:line="320" w:lineRule="exact"/>
              <w:jc w:val="center"/>
              <w:rPr>
                <w:rFonts w:hint="eastAsia" w:ascii="宋体" w:hAnsi="宋体" w:eastAsia="宋体" w:cs="宋体"/>
                <w:sz w:val="22"/>
                <w:szCs w:val="22"/>
              </w:rPr>
            </w:pPr>
            <w:r>
              <w:rPr>
                <w:rFonts w:hint="eastAsia" w:ascii="宋体" w:hAnsi="宋体" w:eastAsia="宋体" w:cs="宋体"/>
                <w:sz w:val="22"/>
                <w:szCs w:val="22"/>
              </w:rPr>
              <w:t>标的名称</w:t>
            </w:r>
          </w:p>
        </w:tc>
        <w:tc>
          <w:tcPr>
            <w:tcW w:w="2268" w:type="dxa"/>
            <w:noWrap w:val="0"/>
            <w:vAlign w:val="center"/>
          </w:tcPr>
          <w:p>
            <w:pPr>
              <w:spacing w:line="320" w:lineRule="exact"/>
              <w:jc w:val="center"/>
              <w:rPr>
                <w:rFonts w:hint="eastAsia" w:ascii="宋体" w:hAnsi="宋体" w:eastAsia="宋体" w:cs="宋体"/>
                <w:sz w:val="22"/>
                <w:szCs w:val="22"/>
              </w:rPr>
            </w:pPr>
            <w:r>
              <w:rPr>
                <w:rFonts w:hint="eastAsia" w:ascii="宋体" w:hAnsi="宋体" w:eastAsia="宋体" w:cs="宋体"/>
                <w:sz w:val="22"/>
                <w:szCs w:val="22"/>
              </w:rPr>
              <w:t>规格型号</w:t>
            </w:r>
          </w:p>
        </w:tc>
        <w:tc>
          <w:tcPr>
            <w:tcW w:w="840" w:type="dxa"/>
            <w:noWrap w:val="0"/>
            <w:vAlign w:val="center"/>
          </w:tcPr>
          <w:p>
            <w:pPr>
              <w:spacing w:line="320" w:lineRule="exact"/>
              <w:jc w:val="center"/>
              <w:rPr>
                <w:rFonts w:hint="eastAsia" w:ascii="宋体" w:hAnsi="宋体" w:eastAsia="宋体" w:cs="宋体"/>
                <w:sz w:val="22"/>
                <w:szCs w:val="22"/>
              </w:rPr>
            </w:pPr>
            <w:r>
              <w:rPr>
                <w:rFonts w:hint="eastAsia" w:ascii="宋体" w:hAnsi="宋体" w:eastAsia="宋体" w:cs="宋体"/>
                <w:sz w:val="22"/>
                <w:szCs w:val="22"/>
              </w:rPr>
              <w:t>单位</w:t>
            </w:r>
          </w:p>
        </w:tc>
        <w:tc>
          <w:tcPr>
            <w:tcW w:w="1409" w:type="dxa"/>
            <w:noWrap w:val="0"/>
            <w:vAlign w:val="center"/>
          </w:tcPr>
          <w:p>
            <w:pPr>
              <w:spacing w:line="320" w:lineRule="exact"/>
              <w:jc w:val="center"/>
              <w:rPr>
                <w:rFonts w:hint="eastAsia" w:ascii="宋体" w:hAnsi="宋体" w:eastAsia="宋体" w:cs="宋体"/>
                <w:sz w:val="22"/>
                <w:szCs w:val="22"/>
              </w:rPr>
            </w:pPr>
            <w:r>
              <w:rPr>
                <w:rFonts w:hint="eastAsia" w:ascii="宋体" w:hAnsi="宋体" w:eastAsia="宋体" w:cs="宋体"/>
                <w:sz w:val="22"/>
                <w:szCs w:val="22"/>
                <w:lang w:eastAsia="zh-CN"/>
              </w:rPr>
              <w:t>暂定</w:t>
            </w:r>
            <w:r>
              <w:rPr>
                <w:rFonts w:hint="eastAsia" w:ascii="宋体" w:hAnsi="宋体" w:eastAsia="宋体" w:cs="宋体"/>
                <w:sz w:val="22"/>
                <w:szCs w:val="22"/>
              </w:rPr>
              <w:t>数量</w:t>
            </w:r>
          </w:p>
        </w:tc>
        <w:tc>
          <w:tcPr>
            <w:tcW w:w="1134" w:type="dxa"/>
            <w:noWrap w:val="0"/>
            <w:vAlign w:val="center"/>
          </w:tcPr>
          <w:p>
            <w:pPr>
              <w:spacing w:line="320" w:lineRule="exact"/>
              <w:jc w:val="center"/>
              <w:rPr>
                <w:rFonts w:hint="eastAsia" w:ascii="宋体" w:hAnsi="宋体" w:eastAsia="宋体" w:cs="宋体"/>
                <w:sz w:val="22"/>
                <w:szCs w:val="22"/>
              </w:rPr>
            </w:pPr>
            <w:r>
              <w:rPr>
                <w:rFonts w:hint="eastAsia" w:ascii="宋体" w:hAnsi="宋体" w:eastAsia="宋体" w:cs="宋体"/>
                <w:sz w:val="22"/>
                <w:szCs w:val="22"/>
              </w:rPr>
              <w:t>单价</w:t>
            </w:r>
          </w:p>
        </w:tc>
        <w:tc>
          <w:tcPr>
            <w:tcW w:w="1417" w:type="dxa"/>
            <w:noWrap w:val="0"/>
            <w:vAlign w:val="center"/>
          </w:tcPr>
          <w:p>
            <w:pPr>
              <w:spacing w:line="320" w:lineRule="exact"/>
              <w:jc w:val="center"/>
              <w:rPr>
                <w:rFonts w:hint="eastAsia" w:ascii="宋体" w:hAnsi="宋体" w:eastAsia="宋体" w:cs="宋体"/>
                <w:sz w:val="22"/>
                <w:szCs w:val="22"/>
              </w:rPr>
            </w:pPr>
            <w:r>
              <w:rPr>
                <w:rFonts w:hint="eastAsia" w:ascii="宋体" w:hAnsi="宋体" w:eastAsia="宋体" w:cs="宋体"/>
                <w:sz w:val="22"/>
                <w:szCs w:val="22"/>
              </w:rPr>
              <w:t>金额</w:t>
            </w:r>
          </w:p>
        </w:tc>
        <w:tc>
          <w:tcPr>
            <w:tcW w:w="1405" w:type="dxa"/>
            <w:noWrap w:val="0"/>
            <w:vAlign w:val="center"/>
          </w:tcPr>
          <w:p>
            <w:pPr>
              <w:spacing w:line="320" w:lineRule="exact"/>
              <w:jc w:val="center"/>
              <w:rPr>
                <w:rFonts w:hint="eastAsia" w:ascii="宋体" w:hAnsi="宋体" w:eastAsia="宋体"/>
                <w:sz w:val="22"/>
                <w:szCs w:val="22"/>
                <w:lang w:eastAsia="zh-CN"/>
              </w:rPr>
            </w:pPr>
            <w:r>
              <w:rPr>
                <w:rFonts w:hint="eastAsia"/>
                <w:sz w:val="18"/>
                <w:szCs w:val="18"/>
                <w:lang w:eastAsia="zh-CN"/>
              </w:rPr>
              <w:t>交货时间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29" w:type="dxa"/>
            <w:noWrap w:val="0"/>
            <w:vAlign w:val="center"/>
          </w:tcPr>
          <w:p>
            <w:pPr>
              <w:autoSpaceDN w:val="0"/>
              <w:spacing w:line="360" w:lineRule="auto"/>
              <w:jc w:val="center"/>
              <w:textAlignment w:val="center"/>
              <w:rPr>
                <w:rFonts w:hint="eastAsia" w:ascii="宋体" w:hAnsi="宋体" w:eastAsia="宋体" w:cs="宋体"/>
                <w:sz w:val="22"/>
                <w:szCs w:val="22"/>
              </w:rPr>
            </w:pPr>
            <w:r>
              <w:rPr>
                <w:rFonts w:hint="eastAsia" w:ascii="宋体" w:hAnsi="宋体" w:eastAsia="宋体" w:cs="宋体"/>
                <w:sz w:val="22"/>
                <w:szCs w:val="22"/>
              </w:rPr>
              <w:t>1</w:t>
            </w:r>
          </w:p>
        </w:tc>
        <w:tc>
          <w:tcPr>
            <w:tcW w:w="1417" w:type="dxa"/>
            <w:noWrap w:val="0"/>
            <w:vAlign w:val="center"/>
          </w:tcPr>
          <w:p>
            <w:pPr>
              <w:autoSpaceDN w:val="0"/>
              <w:spacing w:line="320" w:lineRule="exact"/>
              <w:jc w:val="center"/>
              <w:textAlignment w:val="center"/>
              <w:rPr>
                <w:rFonts w:hint="eastAsia" w:ascii="宋体" w:hAnsi="宋体" w:eastAsia="宋体" w:cs="宋体"/>
                <w:sz w:val="22"/>
                <w:szCs w:val="22"/>
              </w:rPr>
            </w:pPr>
            <w:r>
              <w:rPr>
                <w:rFonts w:hint="eastAsia" w:ascii="宋体" w:hAnsi="宋体" w:eastAsia="宋体" w:cs="宋体"/>
                <w:sz w:val="22"/>
                <w:szCs w:val="22"/>
                <w:lang w:val="en-US" w:eastAsia="zh-CN"/>
              </w:rPr>
              <w:t>楼承板</w:t>
            </w:r>
          </w:p>
        </w:tc>
        <w:tc>
          <w:tcPr>
            <w:tcW w:w="2268" w:type="dxa"/>
            <w:noWrap w:val="0"/>
            <w:vAlign w:val="center"/>
          </w:tcPr>
          <w:p>
            <w:pPr>
              <w:autoSpaceDN w:val="0"/>
              <w:spacing w:line="320" w:lineRule="exact"/>
              <w:jc w:val="center"/>
              <w:textAlignment w:val="center"/>
              <w:rPr>
                <w:rFonts w:hint="default" w:ascii="宋体" w:hAnsi="宋体" w:eastAsia="宋体" w:cs="宋体"/>
                <w:sz w:val="22"/>
                <w:szCs w:val="22"/>
                <w:lang w:val="en-US"/>
              </w:rPr>
            </w:pPr>
          </w:p>
        </w:tc>
        <w:tc>
          <w:tcPr>
            <w:tcW w:w="840" w:type="dxa"/>
            <w:noWrap w:val="0"/>
            <w:vAlign w:val="center"/>
          </w:tcPr>
          <w:p>
            <w:pPr>
              <w:autoSpaceDN w:val="0"/>
              <w:spacing w:line="320" w:lineRule="exact"/>
              <w:jc w:val="center"/>
              <w:textAlignment w:val="center"/>
              <w:rPr>
                <w:rFonts w:hint="eastAsia" w:ascii="宋体" w:hAnsi="宋体" w:eastAsia="宋体" w:cs="宋体"/>
                <w:color w:val="000000"/>
                <w:sz w:val="22"/>
                <w:szCs w:val="22"/>
              </w:rPr>
            </w:pPr>
            <w:r>
              <w:rPr>
                <w:rFonts w:hint="eastAsia" w:ascii="宋体" w:hAnsi="宋体" w:eastAsia="宋体" w:cs="宋体"/>
                <w:kern w:val="2"/>
                <w:sz w:val="22"/>
                <w:szCs w:val="22"/>
                <w:lang w:val="en-US" w:eastAsia="zh-CN" w:bidi="ar-SA"/>
              </w:rPr>
              <w:t>米</w:t>
            </w:r>
          </w:p>
        </w:tc>
        <w:tc>
          <w:tcPr>
            <w:tcW w:w="1409" w:type="dxa"/>
            <w:noWrap w:val="0"/>
            <w:vAlign w:val="center"/>
          </w:tcPr>
          <w:p>
            <w:pPr>
              <w:autoSpaceDN w:val="0"/>
              <w:spacing w:line="320" w:lineRule="exact"/>
              <w:jc w:val="center"/>
              <w:textAlignment w:val="center"/>
              <w:rPr>
                <w:rFonts w:hint="default" w:ascii="宋体" w:hAnsi="宋体" w:eastAsia="宋体" w:cs="宋体"/>
                <w:sz w:val="22"/>
                <w:szCs w:val="22"/>
                <w:lang w:val="en-US" w:eastAsia="zh-CN"/>
              </w:rPr>
            </w:pPr>
          </w:p>
        </w:tc>
        <w:tc>
          <w:tcPr>
            <w:tcW w:w="1134" w:type="dxa"/>
            <w:noWrap w:val="0"/>
            <w:vAlign w:val="center"/>
          </w:tcPr>
          <w:p>
            <w:pPr>
              <w:spacing w:line="320" w:lineRule="exact"/>
              <w:jc w:val="center"/>
              <w:rPr>
                <w:rFonts w:hint="default" w:ascii="宋体" w:hAnsi="宋体" w:eastAsia="宋体" w:cs="宋体"/>
                <w:color w:val="000000"/>
                <w:sz w:val="22"/>
                <w:szCs w:val="22"/>
                <w:lang w:val="en-US" w:eastAsia="zh-CN"/>
              </w:rPr>
            </w:pPr>
          </w:p>
        </w:tc>
        <w:tc>
          <w:tcPr>
            <w:tcW w:w="1417" w:type="dxa"/>
            <w:noWrap w:val="0"/>
            <w:vAlign w:val="center"/>
          </w:tcPr>
          <w:p>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p>
        </w:tc>
        <w:tc>
          <w:tcPr>
            <w:tcW w:w="1405" w:type="dxa"/>
            <w:vMerge w:val="restart"/>
            <w:noWrap w:val="0"/>
            <w:vAlign w:val="center"/>
          </w:tcPr>
          <w:p>
            <w:pPr>
              <w:spacing w:line="360" w:lineRule="auto"/>
              <w:jc w:val="both"/>
              <w:rPr>
                <w:rFonts w:hint="default" w:ascii="宋体" w:hAnsi="宋体" w:cs="楷体"/>
                <w:color w:val="000000"/>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29" w:type="dxa"/>
            <w:noWrap w:val="0"/>
            <w:vAlign w:val="center"/>
          </w:tcPr>
          <w:p>
            <w:pPr>
              <w:autoSpaceDN w:val="0"/>
              <w:spacing w:line="360" w:lineRule="auto"/>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1417" w:type="dxa"/>
            <w:noWrap w:val="0"/>
            <w:vAlign w:val="center"/>
          </w:tcPr>
          <w:p>
            <w:pPr>
              <w:autoSpaceDN w:val="0"/>
              <w:spacing w:line="320" w:lineRule="exact"/>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边模板</w:t>
            </w:r>
          </w:p>
        </w:tc>
        <w:tc>
          <w:tcPr>
            <w:tcW w:w="2268" w:type="dxa"/>
            <w:noWrap w:val="0"/>
            <w:vAlign w:val="center"/>
          </w:tcPr>
          <w:p>
            <w:pPr>
              <w:autoSpaceDN w:val="0"/>
              <w:spacing w:line="320" w:lineRule="exact"/>
              <w:jc w:val="center"/>
              <w:textAlignment w:val="center"/>
              <w:rPr>
                <w:rFonts w:hint="default" w:ascii="宋体" w:hAnsi="宋体" w:eastAsia="宋体" w:cs="宋体"/>
                <w:sz w:val="22"/>
                <w:szCs w:val="22"/>
                <w:lang w:val="en-US" w:eastAsia="zh-CN"/>
              </w:rPr>
            </w:pPr>
          </w:p>
        </w:tc>
        <w:tc>
          <w:tcPr>
            <w:tcW w:w="840" w:type="dxa"/>
            <w:noWrap w:val="0"/>
            <w:vAlign w:val="center"/>
          </w:tcPr>
          <w:p>
            <w:pPr>
              <w:autoSpaceDN w:val="0"/>
              <w:spacing w:line="320" w:lineRule="exact"/>
              <w:jc w:val="center"/>
              <w:textAlignment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吨</w:t>
            </w:r>
          </w:p>
        </w:tc>
        <w:tc>
          <w:tcPr>
            <w:tcW w:w="1409" w:type="dxa"/>
            <w:noWrap w:val="0"/>
            <w:vAlign w:val="center"/>
          </w:tcPr>
          <w:p>
            <w:pPr>
              <w:autoSpaceDN w:val="0"/>
              <w:spacing w:line="320" w:lineRule="exact"/>
              <w:jc w:val="center"/>
              <w:textAlignment w:val="center"/>
              <w:rPr>
                <w:rFonts w:hint="default" w:ascii="宋体" w:hAnsi="宋体" w:eastAsia="宋体" w:cs="宋体"/>
                <w:sz w:val="22"/>
                <w:szCs w:val="22"/>
                <w:lang w:val="en-US" w:eastAsia="zh-CN"/>
              </w:rPr>
            </w:pPr>
          </w:p>
        </w:tc>
        <w:tc>
          <w:tcPr>
            <w:tcW w:w="1134" w:type="dxa"/>
            <w:noWrap w:val="0"/>
            <w:vAlign w:val="center"/>
          </w:tcPr>
          <w:p>
            <w:pPr>
              <w:spacing w:line="320" w:lineRule="exact"/>
              <w:jc w:val="center"/>
              <w:rPr>
                <w:rFonts w:hint="default" w:ascii="宋体" w:hAnsi="宋体" w:eastAsia="宋体" w:cs="宋体"/>
                <w:color w:val="000000"/>
                <w:sz w:val="22"/>
                <w:szCs w:val="22"/>
                <w:lang w:val="en-US" w:eastAsia="zh-CN"/>
              </w:rPr>
            </w:pPr>
          </w:p>
        </w:tc>
        <w:tc>
          <w:tcPr>
            <w:tcW w:w="1417" w:type="dxa"/>
            <w:noWrap w:val="0"/>
            <w:vAlign w:val="center"/>
          </w:tcPr>
          <w:p>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p>
        </w:tc>
        <w:tc>
          <w:tcPr>
            <w:tcW w:w="1405" w:type="dxa"/>
            <w:vMerge w:val="continue"/>
            <w:noWrap w:val="0"/>
            <w:vAlign w:val="center"/>
          </w:tcPr>
          <w:p>
            <w:pPr>
              <w:spacing w:line="360" w:lineRule="auto"/>
              <w:jc w:val="center"/>
              <w:rPr>
                <w:rFonts w:hint="eastAsia" w:ascii="宋体" w:hAnsi="宋体" w:cs="楷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29" w:type="dxa"/>
            <w:noWrap w:val="0"/>
            <w:vAlign w:val="center"/>
          </w:tcPr>
          <w:p>
            <w:pPr>
              <w:autoSpaceDN w:val="0"/>
              <w:spacing w:line="360" w:lineRule="auto"/>
              <w:jc w:val="center"/>
              <w:textAlignment w:val="center"/>
              <w:rPr>
                <w:rFonts w:hint="eastAsia" w:ascii="宋体" w:hAnsi="宋体" w:eastAsia="宋体" w:cs="宋体"/>
                <w:sz w:val="22"/>
                <w:szCs w:val="22"/>
              </w:rPr>
            </w:pPr>
          </w:p>
        </w:tc>
        <w:tc>
          <w:tcPr>
            <w:tcW w:w="1417" w:type="dxa"/>
            <w:noWrap w:val="0"/>
            <w:vAlign w:val="center"/>
          </w:tcPr>
          <w:p>
            <w:pPr>
              <w:autoSpaceDN w:val="0"/>
              <w:spacing w:line="320" w:lineRule="exact"/>
              <w:jc w:val="center"/>
              <w:textAlignment w:val="center"/>
              <w:rPr>
                <w:rFonts w:hint="eastAsia" w:ascii="宋体" w:hAnsi="宋体" w:eastAsia="宋体" w:cs="宋体"/>
                <w:sz w:val="22"/>
                <w:szCs w:val="22"/>
                <w:lang w:val="en-US" w:eastAsia="zh-CN"/>
              </w:rPr>
            </w:pPr>
          </w:p>
        </w:tc>
        <w:tc>
          <w:tcPr>
            <w:tcW w:w="2268" w:type="dxa"/>
            <w:noWrap w:val="0"/>
            <w:vAlign w:val="center"/>
          </w:tcPr>
          <w:p>
            <w:pPr>
              <w:autoSpaceDN w:val="0"/>
              <w:spacing w:line="320" w:lineRule="exact"/>
              <w:jc w:val="center"/>
              <w:textAlignment w:val="center"/>
              <w:rPr>
                <w:rFonts w:hint="eastAsia" w:ascii="宋体" w:hAnsi="宋体" w:eastAsia="宋体" w:cs="宋体"/>
                <w:sz w:val="22"/>
                <w:szCs w:val="22"/>
                <w:lang w:val="en-US" w:eastAsia="zh-CN"/>
              </w:rPr>
            </w:pPr>
          </w:p>
        </w:tc>
        <w:tc>
          <w:tcPr>
            <w:tcW w:w="840" w:type="dxa"/>
            <w:noWrap w:val="0"/>
            <w:vAlign w:val="center"/>
          </w:tcPr>
          <w:p>
            <w:pPr>
              <w:autoSpaceDN w:val="0"/>
              <w:spacing w:line="320" w:lineRule="exact"/>
              <w:jc w:val="center"/>
              <w:textAlignment w:val="center"/>
              <w:rPr>
                <w:rFonts w:hint="eastAsia" w:ascii="宋体" w:hAnsi="宋体" w:eastAsia="宋体" w:cs="宋体"/>
                <w:kern w:val="2"/>
                <w:sz w:val="22"/>
                <w:szCs w:val="22"/>
                <w:lang w:val="en-US" w:eastAsia="zh-CN" w:bidi="ar-SA"/>
              </w:rPr>
            </w:pPr>
          </w:p>
        </w:tc>
        <w:tc>
          <w:tcPr>
            <w:tcW w:w="1409" w:type="dxa"/>
            <w:noWrap w:val="0"/>
            <w:vAlign w:val="center"/>
          </w:tcPr>
          <w:p>
            <w:pPr>
              <w:autoSpaceDN w:val="0"/>
              <w:spacing w:line="320" w:lineRule="exact"/>
              <w:jc w:val="center"/>
              <w:textAlignment w:val="center"/>
              <w:rPr>
                <w:rFonts w:hint="eastAsia" w:ascii="宋体" w:hAnsi="宋体" w:eastAsia="宋体" w:cs="宋体"/>
                <w:sz w:val="22"/>
                <w:szCs w:val="22"/>
                <w:lang w:val="en-US" w:eastAsia="zh-CN"/>
              </w:rPr>
            </w:pPr>
          </w:p>
        </w:tc>
        <w:tc>
          <w:tcPr>
            <w:tcW w:w="1134" w:type="dxa"/>
            <w:noWrap w:val="0"/>
            <w:vAlign w:val="center"/>
          </w:tcPr>
          <w:p>
            <w:pPr>
              <w:spacing w:line="320" w:lineRule="exact"/>
              <w:jc w:val="center"/>
              <w:rPr>
                <w:rFonts w:hint="eastAsia" w:ascii="宋体" w:hAnsi="宋体" w:eastAsia="宋体" w:cs="宋体"/>
                <w:color w:val="000000"/>
                <w:sz w:val="22"/>
                <w:szCs w:val="22"/>
                <w:lang w:val="en-US" w:eastAsia="zh-CN"/>
              </w:rPr>
            </w:pPr>
          </w:p>
        </w:tc>
        <w:tc>
          <w:tcPr>
            <w:tcW w:w="1417" w:type="dxa"/>
            <w:noWrap w:val="0"/>
            <w:vAlign w:val="center"/>
          </w:tcPr>
          <w:p>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p>
        </w:tc>
        <w:tc>
          <w:tcPr>
            <w:tcW w:w="1405" w:type="dxa"/>
            <w:noWrap w:val="0"/>
            <w:vAlign w:val="center"/>
          </w:tcPr>
          <w:p>
            <w:pPr>
              <w:spacing w:line="360" w:lineRule="auto"/>
              <w:jc w:val="center"/>
              <w:rPr>
                <w:rFonts w:hint="eastAsia" w:ascii="宋体" w:hAnsi="宋体" w:cs="楷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9" w:type="dxa"/>
            <w:gridSpan w:val="8"/>
            <w:noWrap w:val="0"/>
            <w:vAlign w:val="top"/>
          </w:tcPr>
          <w:p>
            <w:pPr>
              <w:spacing w:line="360" w:lineRule="auto"/>
              <w:jc w:val="left"/>
              <w:rPr>
                <w:rFonts w:ascii="宋体" w:hAnsi="宋体" w:cs="楷体"/>
                <w:color w:val="000000"/>
                <w:sz w:val="22"/>
                <w:szCs w:val="22"/>
              </w:rPr>
            </w:pPr>
            <w:r>
              <w:rPr>
                <w:rFonts w:hint="eastAsia" w:ascii="宋体" w:hAnsi="宋体" w:cs="楷体"/>
                <w:color w:val="000000"/>
                <w:sz w:val="22"/>
                <w:szCs w:val="22"/>
              </w:rPr>
              <w:t>工程名称：</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u w:val="single"/>
                <w:lang w:val="en-US" w:eastAsia="zh-CN"/>
              </w:rPr>
              <w:t xml:space="preserve">                          </w:t>
            </w:r>
            <w:r>
              <w:rPr>
                <w:rFonts w:ascii="宋体" w:hAnsi="宋体" w:cs="楷体"/>
                <w:color w:val="000000"/>
                <w:sz w:val="22"/>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10619"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楷体"/>
                <w:bCs/>
                <w:sz w:val="22"/>
                <w:szCs w:val="22"/>
              </w:rPr>
            </w:pPr>
            <w:r>
              <w:rPr>
                <w:rFonts w:hint="eastAsia" w:ascii="宋体" w:hAnsi="宋体" w:cs="楷体"/>
                <w:bCs/>
                <w:sz w:val="22"/>
                <w:szCs w:val="22"/>
              </w:rPr>
              <w:t>注：</w:t>
            </w:r>
            <w:r>
              <w:rPr>
                <w:rFonts w:hint="eastAsia" w:ascii="宋体" w:hAnsi="宋体" w:cs="楷体"/>
                <w:bCs/>
                <w:sz w:val="22"/>
                <w:szCs w:val="22"/>
                <w:lang w:val="en-US" w:eastAsia="zh-CN"/>
              </w:rPr>
              <w:t xml:space="preserve"> </w:t>
            </w:r>
            <w:r>
              <w:rPr>
                <w:rFonts w:hint="eastAsia" w:ascii="宋体" w:hAnsi="宋体" w:cs="楷体"/>
                <w:bCs/>
                <w:sz w:val="22"/>
                <w:szCs w:val="22"/>
              </w:rPr>
              <w:t>1.</w:t>
            </w:r>
            <w:r>
              <w:rPr>
                <w:rFonts w:hint="eastAsia" w:ascii="宋体" w:hAnsi="宋体" w:cs="楷体"/>
                <w:bCs/>
                <w:sz w:val="22"/>
                <w:szCs w:val="22"/>
                <w:lang w:eastAsia="zh-CN"/>
              </w:rPr>
              <w:t>材质：</w:t>
            </w:r>
            <w:r>
              <w:rPr>
                <w:rFonts w:hint="eastAsia" w:ascii="宋体" w:hAnsi="宋体" w:cs="楷体"/>
                <w:bCs/>
                <w:sz w:val="22"/>
                <w:szCs w:val="22"/>
                <w:lang w:val="en-US" w:eastAsia="zh-CN"/>
              </w:rPr>
              <w:t>Q355B、</w:t>
            </w:r>
            <w:r>
              <w:rPr>
                <w:rFonts w:hint="eastAsia" w:ascii="宋体" w:hAnsi="宋体" w:cs="楷体"/>
                <w:bCs/>
                <w:sz w:val="22"/>
                <w:szCs w:val="22"/>
              </w:rPr>
              <w:t>热浸镀锌板钢其双面镀锌量应不小于</w:t>
            </w:r>
            <w:r>
              <w:rPr>
                <w:rFonts w:ascii="宋体" w:hAnsi="宋体" w:cs="楷体"/>
                <w:bCs/>
                <w:sz w:val="22"/>
                <w:szCs w:val="22"/>
              </w:rPr>
              <w:t xml:space="preserve"> </w:t>
            </w:r>
            <w:r>
              <w:rPr>
                <w:rFonts w:ascii="宋体" w:hAnsi="宋体" w:cs="楷体"/>
                <w:bCs/>
                <w:sz w:val="22"/>
                <w:szCs w:val="22"/>
                <w:u w:val="single"/>
              </w:rPr>
              <w:t xml:space="preserve">  </w:t>
            </w:r>
            <w:r>
              <w:rPr>
                <w:rFonts w:hint="eastAsia" w:ascii="宋体" w:hAnsi="宋体" w:cs="楷体"/>
                <w:bCs/>
                <w:sz w:val="22"/>
                <w:szCs w:val="22"/>
                <w:u w:val="single"/>
                <w:lang w:val="en-US" w:eastAsia="zh-CN"/>
              </w:rPr>
              <w:t>150</w:t>
            </w:r>
            <w:r>
              <w:rPr>
                <w:rFonts w:ascii="宋体" w:hAnsi="宋体" w:cs="楷体"/>
                <w:bCs/>
                <w:sz w:val="22"/>
                <w:szCs w:val="22"/>
                <w:u w:val="single"/>
              </w:rPr>
              <w:t xml:space="preserve">  </w:t>
            </w:r>
            <w:r>
              <w:rPr>
                <w:rFonts w:hint="eastAsia" w:ascii="宋体" w:hAnsi="宋体" w:cs="楷体"/>
                <w:bCs/>
                <w:sz w:val="22"/>
                <w:szCs w:val="22"/>
              </w:rPr>
              <w:t>g/㎡；</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60" w:firstLineChars="300"/>
              <w:textAlignment w:val="auto"/>
              <w:rPr>
                <w:rFonts w:hint="eastAsia" w:ascii="宋体" w:hAnsi="宋体" w:eastAsia="宋体" w:cs="宋体"/>
                <w:bCs/>
                <w:sz w:val="22"/>
                <w:szCs w:val="22"/>
              </w:rPr>
            </w:pPr>
            <w:r>
              <w:rPr>
                <w:rFonts w:hint="eastAsia" w:ascii="宋体" w:hAnsi="宋体" w:cs="楷体"/>
                <w:bCs/>
                <w:sz w:val="22"/>
                <w:szCs w:val="22"/>
              </w:rPr>
              <w:t>2.材料必须符合国家现行标准，厚度</w:t>
            </w:r>
            <w:r>
              <w:rPr>
                <w:rFonts w:hint="eastAsia" w:ascii="宋体" w:hAnsi="宋体" w:cs="楷体"/>
                <w:bCs/>
                <w:sz w:val="22"/>
                <w:szCs w:val="22"/>
                <w:lang w:val="en-US" w:eastAsia="zh-CN"/>
              </w:rPr>
              <w:t>1.0</w:t>
            </w:r>
            <w:r>
              <w:rPr>
                <w:rFonts w:hint="eastAsia" w:ascii="宋体" w:hAnsi="宋体" w:cs="楷体"/>
                <w:bCs/>
                <w:sz w:val="22"/>
                <w:szCs w:val="22"/>
              </w:rPr>
              <w:t>的实测厚度不低于</w:t>
            </w:r>
            <w:r>
              <w:rPr>
                <w:rFonts w:hint="eastAsia" w:ascii="宋体" w:hAnsi="宋体" w:cs="楷体"/>
                <w:bCs/>
                <w:sz w:val="22"/>
                <w:szCs w:val="22"/>
                <w:lang w:val="en-US" w:eastAsia="zh-CN"/>
              </w:rPr>
              <w:t>0.94</w:t>
            </w:r>
            <w:r>
              <w:rPr>
                <w:rFonts w:hint="eastAsia" w:ascii="宋体" w:hAnsi="宋体" w:cs="楷体"/>
                <w:bCs/>
                <w:sz w:val="22"/>
                <w:szCs w:val="22"/>
              </w:rPr>
              <w:t>mm；</w:t>
            </w:r>
            <w:r>
              <w:rPr>
                <w:rFonts w:hint="eastAsia" w:ascii="宋体" w:hAnsi="宋体" w:eastAsia="宋体" w:cs="宋体"/>
                <w:b w:val="0"/>
                <w:bCs/>
                <w:sz w:val="22"/>
                <w:szCs w:val="22"/>
                <w:lang w:eastAsia="zh-CN"/>
              </w:rPr>
              <w:t>终以实际数量结算。</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60" w:firstLineChars="300"/>
              <w:textAlignment w:val="auto"/>
              <w:rPr>
                <w:rFonts w:ascii="宋体" w:hAnsi="宋体" w:cs="楷体"/>
                <w:bCs/>
                <w:sz w:val="22"/>
                <w:szCs w:val="22"/>
              </w:rPr>
            </w:pPr>
            <w:r>
              <w:rPr>
                <w:rFonts w:hint="eastAsia" w:ascii="宋体" w:hAnsi="宋体" w:cs="楷体"/>
                <w:bCs/>
                <w:sz w:val="22"/>
                <w:szCs w:val="22"/>
              </w:rPr>
              <w:t>3.图纸及相关技术要求以双方确认邮件为准（买方商务邮箱2506749286@qq.com，卖方商务邮箱</w:t>
            </w:r>
            <w:r>
              <w:rPr>
                <w:rFonts w:hint="eastAsia" w:ascii="宋体" w:hAnsi="宋体" w:eastAsia="宋体" w:cs="宋体"/>
                <w:bCs/>
                <w:sz w:val="22"/>
                <w:szCs w:val="22"/>
              </w:rPr>
              <w:t xml:space="preserve"> </w:t>
            </w:r>
            <w:r>
              <w:rPr>
                <w:rFonts w:hint="eastAsia" w:ascii="宋体" w:hAnsi="宋体" w:cs="楷体"/>
                <w:bCs/>
                <w:sz w:val="22"/>
                <w:szCs w:val="22"/>
              </w:rPr>
              <w:t>）;</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60" w:firstLineChars="300"/>
              <w:textAlignment w:val="auto"/>
              <w:rPr>
                <w:rFonts w:hint="eastAsia" w:ascii="宋体" w:hAnsi="宋体" w:cs="楷体"/>
                <w:sz w:val="22"/>
                <w:szCs w:val="22"/>
              </w:rPr>
            </w:pPr>
            <w:r>
              <w:rPr>
                <w:rFonts w:hint="eastAsia" w:ascii="宋体" w:hAnsi="宋体" w:cs="楷体"/>
                <w:bCs/>
                <w:sz w:val="22"/>
                <w:szCs w:val="22"/>
              </w:rPr>
              <w:t>4</w:t>
            </w:r>
            <w:r>
              <w:rPr>
                <w:rFonts w:ascii="宋体" w:hAnsi="宋体" w:cs="楷体"/>
                <w:bCs/>
                <w:sz w:val="22"/>
                <w:szCs w:val="22"/>
              </w:rPr>
              <w:t>.</w:t>
            </w:r>
            <w:r>
              <w:rPr>
                <w:rFonts w:hint="eastAsia" w:ascii="宋体" w:hAnsi="宋体" w:cs="楷体"/>
                <w:bCs/>
                <w:sz w:val="22"/>
                <w:szCs w:val="22"/>
              </w:rPr>
              <w:t>单价中包含材料费、利润、管理费、运输货物风险费、税金（13%增值税专用发票）、复试检测费、工程资料费等所有关联费用。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0619"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楷体"/>
                <w:bCs/>
                <w:sz w:val="22"/>
                <w:szCs w:val="22"/>
              </w:rPr>
            </w:pPr>
            <w:r>
              <w:rPr>
                <w:rFonts w:hint="eastAsia" w:ascii="宋体" w:hAnsi="宋体"/>
                <w:b/>
                <w:sz w:val="22"/>
                <w:szCs w:val="22"/>
              </w:rPr>
              <w:t>合同总金额人民币</w:t>
            </w:r>
            <w:r>
              <w:rPr>
                <w:rFonts w:hint="eastAsia" w:ascii="宋体" w:hAnsi="宋体"/>
                <w:b/>
                <w:sz w:val="22"/>
                <w:szCs w:val="22"/>
                <w:u w:val="single"/>
              </w:rPr>
              <w:t xml:space="preserve"> </w:t>
            </w:r>
            <w:r>
              <w:rPr>
                <w:rFonts w:hint="eastAsia" w:ascii="宋体" w:hAnsi="宋体"/>
                <w:b/>
                <w:sz w:val="22"/>
                <w:szCs w:val="22"/>
                <w:u w:val="single"/>
                <w:lang w:val="en-US" w:eastAsia="zh-CN"/>
              </w:rPr>
              <w:t xml:space="preserve">         </w:t>
            </w:r>
            <w:r>
              <w:rPr>
                <w:rFonts w:hint="eastAsia" w:ascii="宋体" w:hAnsi="宋体"/>
                <w:b/>
                <w:sz w:val="22"/>
                <w:szCs w:val="22"/>
              </w:rPr>
              <w:t>元，大写：</w:t>
            </w:r>
            <w:r>
              <w:rPr>
                <w:rFonts w:hint="eastAsia" w:ascii="宋体" w:hAnsi="宋体"/>
                <w:b/>
                <w:sz w:val="22"/>
                <w:szCs w:val="22"/>
                <w:u w:val="single"/>
              </w:rPr>
              <w:t xml:space="preserve"> </w:t>
            </w:r>
            <w:r>
              <w:rPr>
                <w:rFonts w:hint="eastAsia" w:ascii="宋体" w:hAnsi="宋体"/>
                <w:b/>
                <w:sz w:val="22"/>
                <w:szCs w:val="22"/>
                <w:u w:val="single"/>
                <w:lang w:val="en-US" w:eastAsia="zh-CN"/>
              </w:rPr>
              <w:t xml:space="preserve">           </w:t>
            </w:r>
            <w:r>
              <w:rPr>
                <w:rFonts w:hint="eastAsia" w:ascii="宋体" w:hAnsi="宋体"/>
                <w:b/>
                <w:sz w:val="22"/>
                <w:szCs w:val="22"/>
              </w:rPr>
              <w:t>（含13%增值税）；不含税合同金额：</w:t>
            </w:r>
            <w:r>
              <w:rPr>
                <w:rFonts w:hint="eastAsia" w:ascii="宋体" w:hAnsi="宋体"/>
                <w:b/>
                <w:sz w:val="22"/>
                <w:szCs w:val="22"/>
                <w:u w:val="single"/>
              </w:rPr>
              <w:t xml:space="preserve"> </w:t>
            </w:r>
            <w:r>
              <w:rPr>
                <w:rFonts w:hint="eastAsia" w:ascii="宋体" w:hAnsi="宋体"/>
                <w:b/>
                <w:sz w:val="22"/>
                <w:szCs w:val="22"/>
                <w:u w:val="single"/>
                <w:lang w:val="en-US" w:eastAsia="zh-CN"/>
              </w:rPr>
              <w:t xml:space="preserve">             </w:t>
            </w:r>
            <w:r>
              <w:rPr>
                <w:rFonts w:hint="eastAsia" w:ascii="宋体" w:hAnsi="宋体"/>
                <w:b/>
                <w:sz w:val="22"/>
                <w:szCs w:val="22"/>
              </w:rPr>
              <w:t>元， 合同增值税金额：</w:t>
            </w:r>
            <w:r>
              <w:rPr>
                <w:rFonts w:hint="eastAsia" w:ascii="宋体" w:hAnsi="宋体"/>
                <w:b/>
                <w:sz w:val="22"/>
                <w:szCs w:val="22"/>
                <w:u w:val="single"/>
              </w:rPr>
              <w:t xml:space="preserve">  </w:t>
            </w:r>
            <w:r>
              <w:rPr>
                <w:rFonts w:hint="eastAsia" w:ascii="宋体" w:hAnsi="宋体"/>
                <w:b/>
                <w:sz w:val="22"/>
                <w:szCs w:val="22"/>
                <w:u w:val="single"/>
                <w:lang w:val="en-US" w:eastAsia="zh-CN"/>
              </w:rPr>
              <w:t xml:space="preserve">        </w:t>
            </w:r>
            <w:r>
              <w:rPr>
                <w:rFonts w:hint="eastAsia" w:ascii="宋体" w:hAnsi="宋体"/>
                <w:b/>
                <w:sz w:val="22"/>
                <w:szCs w:val="22"/>
              </w:rPr>
              <w:t>元 ；增值税采用A计税方式（A、一般计税/B、简易计税）。</w:t>
            </w:r>
          </w:p>
        </w:tc>
      </w:tr>
    </w:tbl>
    <w:p>
      <w:pPr>
        <w:keepNext w:val="0"/>
        <w:keepLines w:val="0"/>
        <w:pageBreakBefore w:val="0"/>
        <w:widowControl w:val="0"/>
        <w:kinsoku/>
        <w:wordWrap/>
        <w:overflowPunct/>
        <w:topLinePunct w:val="0"/>
        <w:bidi w:val="0"/>
        <w:snapToGrid/>
        <w:spacing w:line="520" w:lineRule="exact"/>
        <w:ind w:firstLine="440" w:firstLineChars="200"/>
        <w:jc w:val="both"/>
        <w:textAlignment w:val="auto"/>
        <w:rPr>
          <w:rFonts w:hint="eastAsia" w:ascii="宋体" w:hAnsi="宋体"/>
          <w:sz w:val="22"/>
          <w:szCs w:val="22"/>
        </w:rPr>
      </w:pPr>
    </w:p>
    <w:p>
      <w:pPr>
        <w:keepNext w:val="0"/>
        <w:keepLines w:val="0"/>
        <w:pageBreakBefore w:val="0"/>
        <w:widowControl w:val="0"/>
        <w:kinsoku/>
        <w:wordWrap/>
        <w:overflowPunct/>
        <w:topLinePunct w:val="0"/>
        <w:bidi w:val="0"/>
        <w:snapToGrid/>
        <w:spacing w:line="520" w:lineRule="exact"/>
        <w:ind w:firstLine="440" w:firstLineChars="200"/>
        <w:jc w:val="both"/>
        <w:textAlignment w:val="auto"/>
        <w:rPr>
          <w:rFonts w:hint="eastAsia" w:ascii="宋体" w:hAnsi="宋体"/>
          <w:sz w:val="22"/>
          <w:szCs w:val="22"/>
          <w:u w:val="single"/>
        </w:rPr>
      </w:pPr>
      <w:r>
        <w:rPr>
          <w:rFonts w:hint="eastAsia" w:ascii="宋体" w:hAnsi="宋体"/>
          <w:sz w:val="22"/>
          <w:szCs w:val="22"/>
        </w:rPr>
        <w:t>第二条、 质量标准： 卖方按照</w:t>
      </w:r>
      <w:r>
        <w:rPr>
          <w:rFonts w:hint="eastAsia" w:ascii="宋体" w:hAnsi="宋体"/>
          <w:sz w:val="22"/>
          <w:szCs w:val="22"/>
          <w:u w:val="single"/>
        </w:rPr>
        <w:t>国家现行标准和图纸及技术要求</w:t>
      </w:r>
      <w:r>
        <w:rPr>
          <w:rFonts w:hint="eastAsia" w:ascii="宋体" w:hAnsi="宋体"/>
          <w:sz w:val="22"/>
          <w:szCs w:val="22"/>
        </w:rPr>
        <w:t xml:space="preserve">提供产品。 </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40" w:firstLineChars="200"/>
        <w:jc w:val="both"/>
        <w:textAlignment w:val="auto"/>
        <w:rPr>
          <w:rFonts w:ascii="宋体" w:hAnsi="宋体"/>
          <w:sz w:val="22"/>
          <w:szCs w:val="22"/>
        </w:rPr>
      </w:pPr>
      <w:r>
        <w:rPr>
          <w:rFonts w:hint="eastAsia" w:ascii="宋体" w:hAnsi="宋体"/>
          <w:sz w:val="22"/>
          <w:szCs w:val="22"/>
        </w:rPr>
        <w:t>第三条、 质保期限：卖方对货物质保期限为两年，自货物通过最终验收合格之日起二十四个月，如质保期内非因买方原因而出现货物质量问题，自更换或修补后的货物通过验收合格之日起计算质量保证期</w:t>
      </w:r>
      <w:r>
        <w:rPr>
          <w:rFonts w:hint="eastAsia" w:ascii="宋体" w:hAnsi="宋体"/>
          <w:color w:val="auto"/>
          <w:sz w:val="22"/>
          <w:szCs w:val="22"/>
        </w:rPr>
        <w:t>。随货提供真实有效的质量证明文件。</w:t>
      </w:r>
    </w:p>
    <w:p>
      <w:pPr>
        <w:pStyle w:val="18"/>
        <w:keepNext w:val="0"/>
        <w:keepLines w:val="0"/>
        <w:pageBreakBefore w:val="0"/>
        <w:widowControl w:val="0"/>
        <w:kinsoku/>
        <w:wordWrap/>
        <w:overflowPunct/>
        <w:topLinePunct w:val="0"/>
        <w:bidi w:val="0"/>
        <w:snapToGrid/>
        <w:spacing w:line="520" w:lineRule="exact"/>
        <w:ind w:firstLine="440" w:firstLineChars="200"/>
        <w:jc w:val="both"/>
        <w:textAlignment w:val="auto"/>
        <w:rPr>
          <w:rFonts w:hint="eastAsia" w:hAnsi="宋体"/>
          <w:sz w:val="22"/>
          <w:szCs w:val="22"/>
        </w:rPr>
      </w:pPr>
      <w:r>
        <w:rPr>
          <w:rFonts w:hint="eastAsia" w:hAnsi="宋体"/>
          <w:sz w:val="22"/>
          <w:szCs w:val="22"/>
        </w:rPr>
        <w:t>第四条、 包装方式及包装物的供应与回收：</w:t>
      </w:r>
      <w:r>
        <w:rPr>
          <w:rFonts w:hAnsi="宋体"/>
          <w:sz w:val="22"/>
          <w:szCs w:val="22"/>
        </w:rPr>
        <w:t>卖方对包装均应系加标签，注明</w:t>
      </w:r>
      <w:r>
        <w:rPr>
          <w:rFonts w:hint="eastAsia" w:hAnsi="宋体"/>
          <w:sz w:val="22"/>
          <w:szCs w:val="22"/>
        </w:rPr>
        <w:t>货物</w:t>
      </w:r>
      <w:r>
        <w:rPr>
          <w:rFonts w:hAnsi="宋体"/>
          <w:sz w:val="22"/>
          <w:szCs w:val="22"/>
        </w:rPr>
        <w:t>名称、</w:t>
      </w:r>
      <w:r>
        <w:rPr>
          <w:rFonts w:hint="eastAsia" w:hAnsi="宋体"/>
          <w:sz w:val="22"/>
          <w:szCs w:val="22"/>
        </w:rPr>
        <w:t>数量、标准号、批号、生产日期、生产厂家等；包装物若不回收，费用包含在产品价款中，不需买方另行支付。若回收，由卖方出具有效的授权证明给买方，按买方通知的时间在指定地点自行回收。</w:t>
      </w:r>
    </w:p>
    <w:p>
      <w:pPr>
        <w:keepNext w:val="0"/>
        <w:keepLines w:val="0"/>
        <w:pageBreakBefore w:val="0"/>
        <w:widowControl w:val="0"/>
        <w:kinsoku/>
        <w:wordWrap/>
        <w:overflowPunct/>
        <w:topLinePunct w:val="0"/>
        <w:bidi w:val="0"/>
        <w:snapToGrid/>
        <w:spacing w:line="520" w:lineRule="exact"/>
        <w:ind w:left="0" w:leftChars="0" w:firstLine="440" w:firstLineChars="200"/>
        <w:jc w:val="both"/>
        <w:textAlignment w:val="auto"/>
        <w:rPr>
          <w:rFonts w:hint="eastAsia" w:ascii="宋体" w:hAnsi="宋体"/>
          <w:sz w:val="22"/>
          <w:szCs w:val="22"/>
        </w:rPr>
      </w:pPr>
      <w:r>
        <w:rPr>
          <w:rFonts w:hint="eastAsia" w:ascii="宋体" w:hAnsi="宋体"/>
          <w:sz w:val="22"/>
          <w:szCs w:val="22"/>
        </w:rPr>
        <w:t>第五条、 交货地点、方式及运输：</w:t>
      </w:r>
      <w:r>
        <w:rPr>
          <w:rFonts w:hint="eastAsia" w:ascii="宋体" w:hAnsi="宋体"/>
          <w:sz w:val="22"/>
          <w:szCs w:val="22"/>
          <w:u w:val="single"/>
          <w:lang w:val="en-US" w:eastAsia="zh-CN"/>
        </w:rPr>
        <w:t xml:space="preserve">               </w:t>
      </w:r>
      <w:r>
        <w:rPr>
          <w:rFonts w:hint="eastAsia" w:ascii="宋体" w:hAnsi="宋体"/>
          <w:sz w:val="22"/>
          <w:szCs w:val="22"/>
          <w:lang w:val="en-US" w:eastAsia="zh-CN"/>
        </w:rPr>
        <w:t xml:space="preserve"> </w:t>
      </w:r>
      <w:r>
        <w:rPr>
          <w:rFonts w:hint="eastAsia" w:ascii="宋体" w:hAnsi="宋体"/>
          <w:sz w:val="22"/>
          <w:szCs w:val="22"/>
        </w:rPr>
        <w:t xml:space="preserve">项目工地，卖方负责运输并承担运输费用。   </w:t>
      </w:r>
    </w:p>
    <w:p>
      <w:pPr>
        <w:keepNext w:val="0"/>
        <w:keepLines w:val="0"/>
        <w:pageBreakBefore w:val="0"/>
        <w:widowControl w:val="0"/>
        <w:kinsoku/>
        <w:wordWrap/>
        <w:overflowPunct/>
        <w:topLinePunct w:val="0"/>
        <w:bidi w:val="0"/>
        <w:snapToGrid/>
        <w:spacing w:line="520" w:lineRule="exact"/>
        <w:ind w:left="0" w:leftChars="0" w:firstLine="440" w:firstLineChars="200"/>
        <w:jc w:val="both"/>
        <w:textAlignment w:val="auto"/>
        <w:rPr>
          <w:rFonts w:hint="eastAsia" w:ascii="宋体" w:hAnsi="宋体" w:eastAsia="宋体"/>
          <w:sz w:val="22"/>
          <w:szCs w:val="22"/>
          <w:lang w:eastAsia="zh-CN"/>
        </w:rPr>
      </w:pPr>
      <w:r>
        <w:rPr>
          <w:rFonts w:hint="eastAsia" w:ascii="宋体" w:hAnsi="宋体"/>
          <w:sz w:val="22"/>
          <w:szCs w:val="22"/>
        </w:rPr>
        <w:t>第六条、卖方应随货提供产品检验报告、产品合格证、质保书等相关产品合格证明文件，若卖方资料不齐全买方方有权拒绝收货</w:t>
      </w:r>
      <w:r>
        <w:rPr>
          <w:rFonts w:hint="eastAsia" w:ascii="宋体" w:hAnsi="宋体"/>
          <w:sz w:val="22"/>
          <w:szCs w:val="22"/>
          <w:lang w:eastAsia="zh-CN"/>
        </w:rPr>
        <w:t>。</w:t>
      </w:r>
    </w:p>
    <w:p>
      <w:pPr>
        <w:keepNext w:val="0"/>
        <w:keepLines w:val="0"/>
        <w:pageBreakBefore w:val="0"/>
        <w:widowControl w:val="0"/>
        <w:kinsoku/>
        <w:wordWrap/>
        <w:overflowPunct/>
        <w:topLinePunct w:val="0"/>
        <w:bidi w:val="0"/>
        <w:snapToGrid/>
        <w:spacing w:line="520" w:lineRule="exact"/>
        <w:ind w:left="0" w:leftChars="0" w:firstLine="440" w:firstLineChars="200"/>
        <w:jc w:val="both"/>
        <w:textAlignment w:val="auto"/>
        <w:rPr>
          <w:rFonts w:hint="eastAsia" w:ascii="宋体" w:hAnsi="宋体"/>
          <w:sz w:val="22"/>
          <w:szCs w:val="22"/>
        </w:rPr>
      </w:pPr>
      <w:r>
        <w:rPr>
          <w:rFonts w:hint="eastAsia" w:ascii="宋体" w:hAnsi="宋体"/>
          <w:sz w:val="22"/>
          <w:szCs w:val="22"/>
        </w:rPr>
        <w:t>第</w:t>
      </w:r>
      <w:r>
        <w:rPr>
          <w:rFonts w:hint="eastAsia" w:ascii="宋体" w:hAnsi="宋体"/>
          <w:sz w:val="22"/>
          <w:szCs w:val="22"/>
          <w:lang w:val="en-US" w:eastAsia="zh-CN"/>
        </w:rPr>
        <w:t>七</w:t>
      </w:r>
      <w:r>
        <w:rPr>
          <w:rFonts w:hint="eastAsia" w:ascii="宋体" w:hAnsi="宋体"/>
          <w:sz w:val="22"/>
          <w:szCs w:val="22"/>
        </w:rPr>
        <w:t>条、 检验标准及方法：买方按合同约定的技术、质量标准检验验收，并按合同约定的规格、型号、数量进行核对验收。</w:t>
      </w:r>
    </w:p>
    <w:p>
      <w:pPr>
        <w:keepNext w:val="0"/>
        <w:keepLines w:val="0"/>
        <w:pageBreakBefore w:val="0"/>
        <w:widowControl w:val="0"/>
        <w:kinsoku/>
        <w:wordWrap/>
        <w:overflowPunct/>
        <w:topLinePunct w:val="0"/>
        <w:bidi w:val="0"/>
        <w:snapToGrid/>
        <w:spacing w:line="520" w:lineRule="exact"/>
        <w:ind w:left="0" w:leftChars="0" w:firstLine="440" w:firstLineChars="200"/>
        <w:jc w:val="both"/>
        <w:textAlignment w:val="auto"/>
        <w:rPr>
          <w:rFonts w:hint="eastAsia" w:ascii="宋体" w:hAnsi="宋体"/>
          <w:sz w:val="22"/>
          <w:szCs w:val="22"/>
          <w:u w:val="single"/>
        </w:rPr>
      </w:pPr>
      <w:r>
        <w:rPr>
          <w:rFonts w:hint="eastAsia" w:ascii="宋体" w:hAnsi="宋体"/>
          <w:sz w:val="22"/>
          <w:szCs w:val="22"/>
        </w:rPr>
        <w:t>第</w:t>
      </w:r>
      <w:r>
        <w:rPr>
          <w:rFonts w:hint="eastAsia" w:ascii="宋体" w:hAnsi="宋体"/>
          <w:sz w:val="22"/>
          <w:szCs w:val="22"/>
          <w:lang w:val="en-US" w:eastAsia="zh-CN"/>
        </w:rPr>
        <w:t>八</w:t>
      </w:r>
      <w:r>
        <w:rPr>
          <w:rFonts w:hint="eastAsia" w:ascii="宋体" w:hAnsi="宋体"/>
          <w:sz w:val="22"/>
          <w:szCs w:val="22"/>
        </w:rPr>
        <w:t>条、 结算方法、时间：按买方实际理算重量结算，付款方式为：</w:t>
      </w:r>
      <w:r>
        <w:rPr>
          <w:rFonts w:hint="eastAsia" w:ascii="宋体" w:hAnsi="宋体"/>
          <w:sz w:val="22"/>
          <w:szCs w:val="22"/>
          <w:u w:val="single"/>
          <w:lang w:eastAsia="zh-CN"/>
        </w:rPr>
        <w:t>合同签订三个工作日支付</w:t>
      </w:r>
      <w:r>
        <w:rPr>
          <w:rFonts w:hint="eastAsia" w:ascii="宋体" w:hAnsi="宋体"/>
          <w:sz w:val="22"/>
          <w:szCs w:val="22"/>
          <w:u w:val="single"/>
          <w:lang w:val="en-US" w:eastAsia="zh-CN"/>
        </w:rPr>
        <w:t>30%预付款，</w:t>
      </w:r>
      <w:r>
        <w:rPr>
          <w:rFonts w:hint="eastAsia" w:ascii="宋体" w:hAnsi="宋体"/>
          <w:sz w:val="22"/>
          <w:szCs w:val="22"/>
          <w:u w:val="single"/>
        </w:rPr>
        <w:t>货到工地验收合格后提供增值税发票入账后15日付款。</w:t>
      </w:r>
    </w:p>
    <w:p>
      <w:pPr>
        <w:keepNext w:val="0"/>
        <w:keepLines w:val="0"/>
        <w:pageBreakBefore w:val="0"/>
        <w:widowControl w:val="0"/>
        <w:kinsoku/>
        <w:wordWrap/>
        <w:overflowPunct/>
        <w:topLinePunct w:val="0"/>
        <w:bidi w:val="0"/>
        <w:snapToGrid/>
        <w:spacing w:line="520" w:lineRule="exact"/>
        <w:ind w:left="0" w:leftChars="0" w:firstLine="440" w:firstLineChars="200"/>
        <w:jc w:val="both"/>
        <w:textAlignment w:val="auto"/>
        <w:rPr>
          <w:rFonts w:hint="eastAsia" w:ascii="宋体" w:hAnsi="宋体"/>
          <w:color w:val="auto"/>
          <w:sz w:val="22"/>
          <w:szCs w:val="22"/>
        </w:rPr>
      </w:pPr>
      <w:r>
        <w:rPr>
          <w:rFonts w:hint="eastAsia" w:ascii="宋体" w:hAnsi="宋体"/>
          <w:sz w:val="22"/>
          <w:szCs w:val="22"/>
        </w:rPr>
        <w:t>第</w:t>
      </w:r>
      <w:r>
        <w:rPr>
          <w:rFonts w:hint="eastAsia" w:ascii="宋体" w:hAnsi="宋体"/>
          <w:sz w:val="22"/>
          <w:szCs w:val="22"/>
          <w:lang w:val="en-US" w:eastAsia="zh-CN"/>
        </w:rPr>
        <w:t>九</w:t>
      </w:r>
      <w:r>
        <w:rPr>
          <w:rFonts w:hint="eastAsia" w:ascii="宋体" w:hAnsi="宋体"/>
          <w:sz w:val="22"/>
          <w:szCs w:val="22"/>
        </w:rPr>
        <w:t>条、违约责任：</w:t>
      </w:r>
      <w:r>
        <w:rPr>
          <w:rFonts w:hint="eastAsia" w:ascii="宋体" w:hAnsi="宋体"/>
          <w:color w:val="auto"/>
          <w:sz w:val="22"/>
          <w:szCs w:val="22"/>
          <w:lang w:val="en-US" w:eastAsia="zh-CN"/>
        </w:rPr>
        <w:t>1、</w:t>
      </w:r>
      <w:r>
        <w:rPr>
          <w:rFonts w:hint="eastAsia" w:ascii="宋体" w:hAnsi="宋体"/>
          <w:color w:val="auto"/>
          <w:sz w:val="22"/>
          <w:szCs w:val="22"/>
        </w:rPr>
        <w:t>卖方未能按合同约定的期限供货，每逾期一天，则卖方须向买方支付合同总金额5%的违约金（低于500元/天的，按500元/天计算），逾期时间按买方收到货物的时间为准。卖方逾期超过七日及以上，视为卖方违约不履行合同，买方有权单方面解除合同，并有权要求卖方按合同总额的3</w:t>
      </w:r>
      <w:r>
        <w:rPr>
          <w:rFonts w:ascii="宋体" w:hAnsi="宋体"/>
          <w:color w:val="auto"/>
          <w:sz w:val="22"/>
          <w:szCs w:val="22"/>
        </w:rPr>
        <w:t>0%</w:t>
      </w:r>
      <w:r>
        <w:rPr>
          <w:rFonts w:hint="eastAsia" w:ascii="宋体" w:hAnsi="宋体"/>
          <w:color w:val="auto"/>
          <w:sz w:val="22"/>
          <w:szCs w:val="22"/>
        </w:rPr>
        <w:t>承担违约金。</w:t>
      </w:r>
      <w:bookmarkStart w:id="7" w:name="OLE_LINK2"/>
      <w:bookmarkStart w:id="8" w:name="OLE_LINK1"/>
      <w:r>
        <w:rPr>
          <w:rFonts w:hint="eastAsia" w:ascii="宋体" w:hAnsi="宋体"/>
          <w:color w:val="auto"/>
          <w:sz w:val="22"/>
          <w:szCs w:val="22"/>
          <w:lang w:val="en-US" w:eastAsia="zh-CN"/>
        </w:rPr>
        <w:t>2、</w:t>
      </w:r>
      <w:r>
        <w:rPr>
          <w:rFonts w:hint="eastAsia" w:ascii="宋体" w:hAnsi="宋体" w:cs="楷体"/>
          <w:color w:val="auto"/>
          <w:sz w:val="22"/>
          <w:szCs w:val="22"/>
        </w:rPr>
        <w:t>若买方检验判定卖方货物不合格，</w:t>
      </w:r>
      <w:r>
        <w:rPr>
          <w:rFonts w:hint="eastAsia" w:ascii="宋体" w:hAnsi="宋体"/>
          <w:color w:val="auto"/>
          <w:sz w:val="22"/>
          <w:szCs w:val="22"/>
        </w:rPr>
        <w:t>卖</w:t>
      </w:r>
      <w:r>
        <w:rPr>
          <w:rFonts w:ascii="宋体" w:hAnsi="宋体"/>
          <w:color w:val="auto"/>
          <w:sz w:val="22"/>
          <w:szCs w:val="22"/>
        </w:rPr>
        <w:t>方</w:t>
      </w:r>
      <w:r>
        <w:rPr>
          <w:rFonts w:hint="eastAsia" w:ascii="宋体" w:hAnsi="宋体"/>
          <w:color w:val="auto"/>
          <w:sz w:val="22"/>
          <w:szCs w:val="22"/>
        </w:rPr>
        <w:t>对买</w:t>
      </w:r>
      <w:r>
        <w:rPr>
          <w:rFonts w:ascii="宋体" w:hAnsi="宋体"/>
          <w:color w:val="auto"/>
          <w:sz w:val="22"/>
          <w:szCs w:val="22"/>
        </w:rPr>
        <w:t>方</w:t>
      </w:r>
      <w:r>
        <w:rPr>
          <w:rFonts w:hint="eastAsia" w:ascii="宋体" w:hAnsi="宋体"/>
          <w:color w:val="auto"/>
          <w:sz w:val="22"/>
          <w:szCs w:val="22"/>
        </w:rPr>
        <w:t>的检验结果有异议的，自买方书面告知之日起2日内可申请在买方复检或通过第三方检测，</w:t>
      </w:r>
      <w:r>
        <w:rPr>
          <w:rFonts w:hint="eastAsia" w:ascii="宋体" w:hAnsi="宋体" w:cs="楷体"/>
          <w:color w:val="auto"/>
          <w:sz w:val="22"/>
          <w:szCs w:val="22"/>
        </w:rPr>
        <w:t>卖方申请复检或申请</w:t>
      </w:r>
      <w:r>
        <w:rPr>
          <w:rFonts w:hint="eastAsia" w:ascii="宋体" w:hAnsi="宋体"/>
          <w:color w:val="auto"/>
          <w:sz w:val="22"/>
          <w:szCs w:val="22"/>
        </w:rPr>
        <w:t>通过第三方检测</w:t>
      </w:r>
      <w:r>
        <w:rPr>
          <w:rFonts w:hint="eastAsia" w:ascii="宋体" w:hAnsi="宋体" w:cs="楷体"/>
          <w:color w:val="auto"/>
          <w:sz w:val="22"/>
          <w:szCs w:val="22"/>
        </w:rPr>
        <w:t>，必须预先缴纳相关检验费给买方。</w:t>
      </w:r>
      <w:r>
        <w:rPr>
          <w:rFonts w:hint="eastAsia" w:ascii="宋体" w:hAnsi="宋体"/>
          <w:color w:val="auto"/>
          <w:sz w:val="22"/>
          <w:szCs w:val="22"/>
        </w:rPr>
        <w:t>若检测仍然不合格，其复检和第三方检测费用由卖方承担。逾期卖</w:t>
      </w:r>
      <w:r>
        <w:rPr>
          <w:rFonts w:ascii="宋体" w:hAnsi="宋体"/>
          <w:color w:val="auto"/>
          <w:sz w:val="22"/>
          <w:szCs w:val="22"/>
        </w:rPr>
        <w:t>方</w:t>
      </w:r>
      <w:r>
        <w:rPr>
          <w:rFonts w:hint="eastAsia" w:ascii="宋体" w:hAnsi="宋体"/>
          <w:color w:val="auto"/>
          <w:sz w:val="22"/>
          <w:szCs w:val="22"/>
        </w:rPr>
        <w:t>未作回应，或拒绝复检、拒绝通过第三方检测，视为卖</w:t>
      </w:r>
      <w:r>
        <w:rPr>
          <w:rFonts w:ascii="宋体" w:hAnsi="宋体"/>
          <w:color w:val="auto"/>
          <w:sz w:val="22"/>
          <w:szCs w:val="22"/>
        </w:rPr>
        <w:t>方</w:t>
      </w:r>
      <w:r>
        <w:rPr>
          <w:rFonts w:hint="eastAsia" w:ascii="宋体" w:hAnsi="宋体"/>
          <w:color w:val="auto"/>
          <w:sz w:val="22"/>
          <w:szCs w:val="22"/>
        </w:rPr>
        <w:t>认同检验结果。3、</w:t>
      </w:r>
      <w:r>
        <w:rPr>
          <w:rFonts w:hint="eastAsia" w:ascii="宋体" w:hAnsi="宋体" w:eastAsia="宋体" w:cs="宋体"/>
          <w:color w:val="auto"/>
          <w:spacing w:val="-3"/>
          <w:sz w:val="22"/>
          <w:szCs w:val="22"/>
          <w:lang w:val="en-US" w:eastAsia="zh-CN"/>
        </w:rPr>
        <w:t>卖方提供的质保书应符合合同约定要求，必须真实有效。若卖方未能履行协议规定的质量保证责任，或提供虚假质量证明文件，应向甲方支付不小于合同金额20%违约金，并承担因卖方原因导致甲方所有损失。</w:t>
      </w:r>
    </w:p>
    <w:bookmarkEnd w:id="7"/>
    <w:bookmarkEnd w:id="8"/>
    <w:p>
      <w:pPr>
        <w:pStyle w:val="18"/>
        <w:keepNext w:val="0"/>
        <w:keepLines w:val="0"/>
        <w:pageBreakBefore w:val="0"/>
        <w:widowControl w:val="0"/>
        <w:kinsoku/>
        <w:wordWrap/>
        <w:overflowPunct/>
        <w:topLinePunct w:val="0"/>
        <w:bidi w:val="0"/>
        <w:snapToGrid/>
        <w:spacing w:line="520" w:lineRule="exact"/>
        <w:ind w:left="0" w:leftChars="0" w:firstLine="440" w:firstLineChars="200"/>
        <w:jc w:val="both"/>
        <w:textAlignment w:val="auto"/>
        <w:rPr>
          <w:rFonts w:hint="eastAsia" w:hAnsi="宋体"/>
          <w:sz w:val="22"/>
          <w:szCs w:val="22"/>
        </w:rPr>
      </w:pPr>
      <w:r>
        <w:rPr>
          <w:rFonts w:hint="eastAsia" w:hAnsi="宋体"/>
          <w:sz w:val="22"/>
          <w:szCs w:val="22"/>
        </w:rPr>
        <w:t>第</w:t>
      </w:r>
      <w:r>
        <w:rPr>
          <w:rFonts w:hint="eastAsia" w:hAnsi="宋体"/>
          <w:sz w:val="22"/>
          <w:szCs w:val="22"/>
          <w:lang w:val="en-US" w:eastAsia="zh-CN"/>
        </w:rPr>
        <w:t>十</w:t>
      </w:r>
      <w:r>
        <w:rPr>
          <w:rFonts w:hint="eastAsia" w:hAnsi="宋体"/>
          <w:sz w:val="22"/>
          <w:szCs w:val="22"/>
        </w:rPr>
        <w:t>条、售后服务：卖方所供的货物负有相关指导的技术服务。如货物</w:t>
      </w:r>
      <w:r>
        <w:rPr>
          <w:rFonts w:hAnsi="宋体"/>
          <w:sz w:val="22"/>
          <w:szCs w:val="22"/>
        </w:rPr>
        <w:t>出现</w:t>
      </w:r>
      <w:r>
        <w:rPr>
          <w:rFonts w:hint="eastAsia" w:hAnsi="宋体"/>
          <w:sz w:val="22"/>
          <w:szCs w:val="22"/>
        </w:rPr>
        <w:t>技术、</w:t>
      </w:r>
      <w:r>
        <w:rPr>
          <w:rFonts w:hAnsi="宋体"/>
          <w:sz w:val="22"/>
          <w:szCs w:val="22"/>
        </w:rPr>
        <w:t>质量</w:t>
      </w:r>
      <w:r>
        <w:rPr>
          <w:rFonts w:hint="eastAsia" w:hAnsi="宋体"/>
          <w:sz w:val="22"/>
          <w:szCs w:val="22"/>
        </w:rPr>
        <w:t>或其他导致不能正常使用问题时，卖</w:t>
      </w:r>
      <w:r>
        <w:rPr>
          <w:rFonts w:hAnsi="宋体"/>
          <w:sz w:val="22"/>
          <w:szCs w:val="22"/>
        </w:rPr>
        <w:t>方接到通知后</w:t>
      </w:r>
      <w:r>
        <w:rPr>
          <w:rFonts w:hint="eastAsia" w:hAnsi="宋体"/>
          <w:sz w:val="22"/>
          <w:szCs w:val="22"/>
        </w:rPr>
        <w:t>4</w:t>
      </w:r>
      <w:r>
        <w:rPr>
          <w:rFonts w:hAnsi="宋体"/>
          <w:sz w:val="22"/>
          <w:szCs w:val="22"/>
        </w:rPr>
        <w:t>小时内</w:t>
      </w:r>
      <w:r>
        <w:rPr>
          <w:rFonts w:hint="eastAsia" w:hAnsi="宋体"/>
          <w:sz w:val="22"/>
          <w:szCs w:val="22"/>
        </w:rPr>
        <w:t>须</w:t>
      </w:r>
      <w:r>
        <w:rPr>
          <w:rFonts w:hAnsi="宋体"/>
          <w:sz w:val="22"/>
          <w:szCs w:val="22"/>
        </w:rPr>
        <w:t>给予答复，</w:t>
      </w:r>
      <w:r>
        <w:rPr>
          <w:rFonts w:hint="eastAsia" w:hAnsi="宋体"/>
          <w:sz w:val="22"/>
          <w:szCs w:val="22"/>
        </w:rPr>
        <w:t>如</w:t>
      </w:r>
      <w:r>
        <w:rPr>
          <w:rFonts w:hAnsi="宋体"/>
          <w:sz w:val="22"/>
          <w:szCs w:val="22"/>
        </w:rPr>
        <w:t>需</w:t>
      </w:r>
      <w:r>
        <w:rPr>
          <w:rFonts w:hint="eastAsia" w:hAnsi="宋体"/>
          <w:sz w:val="22"/>
          <w:szCs w:val="22"/>
        </w:rPr>
        <w:t>卖</w:t>
      </w:r>
      <w:r>
        <w:rPr>
          <w:rFonts w:hAnsi="宋体"/>
          <w:sz w:val="22"/>
          <w:szCs w:val="22"/>
        </w:rPr>
        <w:t>方到</w:t>
      </w:r>
      <w:r>
        <w:rPr>
          <w:rFonts w:hint="eastAsia" w:hAnsi="宋体"/>
          <w:sz w:val="22"/>
          <w:szCs w:val="22"/>
        </w:rPr>
        <w:t>买</w:t>
      </w:r>
      <w:r>
        <w:rPr>
          <w:rFonts w:hAnsi="宋体"/>
          <w:sz w:val="22"/>
          <w:szCs w:val="22"/>
        </w:rPr>
        <w:t>方现场</w:t>
      </w:r>
      <w:r>
        <w:rPr>
          <w:rFonts w:hint="eastAsia" w:hAnsi="宋体"/>
          <w:sz w:val="22"/>
          <w:szCs w:val="22"/>
        </w:rPr>
        <w:t>处理</w:t>
      </w:r>
      <w:r>
        <w:rPr>
          <w:rFonts w:hAnsi="宋体"/>
          <w:sz w:val="22"/>
          <w:szCs w:val="22"/>
        </w:rPr>
        <w:t>，自接到</w:t>
      </w:r>
      <w:r>
        <w:rPr>
          <w:rFonts w:hint="eastAsia" w:hAnsi="宋体"/>
          <w:sz w:val="22"/>
          <w:szCs w:val="22"/>
        </w:rPr>
        <w:t>买</w:t>
      </w:r>
      <w:r>
        <w:rPr>
          <w:rFonts w:hAnsi="宋体"/>
          <w:sz w:val="22"/>
          <w:szCs w:val="22"/>
        </w:rPr>
        <w:t>方通知</w:t>
      </w:r>
      <w:r>
        <w:rPr>
          <w:rFonts w:hint="eastAsia" w:hAnsi="宋体"/>
          <w:sz w:val="22"/>
          <w:szCs w:val="22"/>
        </w:rPr>
        <w:t>时</w:t>
      </w:r>
      <w:r>
        <w:rPr>
          <w:rFonts w:hAnsi="宋体"/>
          <w:sz w:val="22"/>
          <w:szCs w:val="22"/>
        </w:rPr>
        <w:t>起</w:t>
      </w:r>
      <w:r>
        <w:rPr>
          <w:rFonts w:hint="eastAsia" w:hAnsi="宋体"/>
          <w:sz w:val="22"/>
          <w:szCs w:val="22"/>
        </w:rPr>
        <w:t>24</w:t>
      </w:r>
      <w:r>
        <w:rPr>
          <w:rFonts w:hAnsi="宋体"/>
          <w:sz w:val="22"/>
          <w:szCs w:val="22"/>
        </w:rPr>
        <w:t>小时内</w:t>
      </w:r>
      <w:r>
        <w:rPr>
          <w:rFonts w:hint="eastAsia" w:hAnsi="宋体"/>
          <w:sz w:val="22"/>
          <w:szCs w:val="22"/>
        </w:rPr>
        <w:t>须到买</w:t>
      </w:r>
      <w:r>
        <w:rPr>
          <w:rFonts w:hAnsi="宋体"/>
          <w:sz w:val="22"/>
          <w:szCs w:val="22"/>
        </w:rPr>
        <w:t>方现场</w:t>
      </w:r>
      <w:r>
        <w:rPr>
          <w:rFonts w:hint="eastAsia" w:hAnsi="宋体"/>
          <w:sz w:val="22"/>
          <w:szCs w:val="22"/>
        </w:rPr>
        <w:t>处理。</w:t>
      </w:r>
    </w:p>
    <w:p>
      <w:pPr>
        <w:pStyle w:val="18"/>
        <w:keepNext w:val="0"/>
        <w:keepLines w:val="0"/>
        <w:pageBreakBefore w:val="0"/>
        <w:widowControl w:val="0"/>
        <w:kinsoku/>
        <w:wordWrap/>
        <w:overflowPunct/>
        <w:topLinePunct w:val="0"/>
        <w:bidi w:val="0"/>
        <w:snapToGrid/>
        <w:spacing w:line="520" w:lineRule="exact"/>
        <w:ind w:left="0" w:leftChars="0" w:firstLine="440" w:firstLineChars="200"/>
        <w:jc w:val="both"/>
        <w:textAlignment w:val="auto"/>
        <w:rPr>
          <w:rFonts w:hint="eastAsia" w:hAnsi="宋体"/>
          <w:sz w:val="22"/>
          <w:szCs w:val="22"/>
        </w:rPr>
      </w:pPr>
      <w:r>
        <w:rPr>
          <w:rFonts w:hint="eastAsia" w:hAnsi="宋体"/>
          <w:sz w:val="22"/>
          <w:szCs w:val="22"/>
        </w:rPr>
        <w:t>第十</w:t>
      </w:r>
      <w:r>
        <w:rPr>
          <w:rFonts w:hint="eastAsia" w:hAnsi="宋体"/>
          <w:sz w:val="22"/>
          <w:szCs w:val="22"/>
          <w:lang w:val="en-US" w:eastAsia="zh-CN"/>
        </w:rPr>
        <w:t>一</w:t>
      </w:r>
      <w:r>
        <w:rPr>
          <w:rFonts w:hint="eastAsia" w:hAnsi="宋体"/>
          <w:sz w:val="22"/>
          <w:szCs w:val="22"/>
        </w:rPr>
        <w:t>条、卖方对其提供的设备、材料及技术服务的知识产权作出无侵权承诺，如有侵权事件发生，卖方应承担一切法律责任。</w:t>
      </w:r>
    </w:p>
    <w:p>
      <w:pPr>
        <w:keepNext w:val="0"/>
        <w:keepLines w:val="0"/>
        <w:pageBreakBefore w:val="0"/>
        <w:widowControl w:val="0"/>
        <w:kinsoku/>
        <w:wordWrap/>
        <w:overflowPunct/>
        <w:topLinePunct w:val="0"/>
        <w:bidi w:val="0"/>
        <w:snapToGrid/>
        <w:spacing w:line="520" w:lineRule="exact"/>
        <w:ind w:left="0" w:leftChars="0" w:firstLine="440" w:firstLineChars="200"/>
        <w:jc w:val="both"/>
        <w:textAlignment w:val="auto"/>
        <w:rPr>
          <w:rFonts w:hint="eastAsia" w:ascii="宋体" w:hAnsi="宋体"/>
          <w:sz w:val="22"/>
          <w:szCs w:val="22"/>
        </w:rPr>
      </w:pPr>
      <w:r>
        <w:rPr>
          <w:rFonts w:hint="eastAsia" w:ascii="宋体" w:hAnsi="宋体"/>
          <w:sz w:val="22"/>
          <w:szCs w:val="22"/>
        </w:rPr>
        <w:t>第十</w:t>
      </w:r>
      <w:r>
        <w:rPr>
          <w:rFonts w:hint="eastAsia" w:ascii="宋体" w:hAnsi="宋体"/>
          <w:sz w:val="22"/>
          <w:szCs w:val="22"/>
          <w:lang w:val="en-US" w:eastAsia="zh-CN"/>
        </w:rPr>
        <w:t>二</w:t>
      </w:r>
      <w:r>
        <w:rPr>
          <w:rFonts w:hint="eastAsia" w:ascii="宋体" w:hAnsi="宋体"/>
          <w:sz w:val="22"/>
          <w:szCs w:val="22"/>
        </w:rPr>
        <w:t>条、其他：（1）买方可以根据生产计划调整合同购货总量。（2）卖方对所供的货物在未到达买方仓库或生产</w:t>
      </w:r>
      <w:r>
        <w:rPr>
          <w:rFonts w:ascii="宋体" w:hAnsi="宋体"/>
          <w:sz w:val="22"/>
          <w:szCs w:val="22"/>
        </w:rPr>
        <w:t>现场</w:t>
      </w:r>
      <w:r>
        <w:rPr>
          <w:rFonts w:hint="eastAsia" w:ascii="宋体" w:hAnsi="宋体"/>
          <w:sz w:val="22"/>
          <w:szCs w:val="22"/>
        </w:rPr>
        <w:t>之前发生的毁损、灭失风险由卖</w:t>
      </w:r>
      <w:r>
        <w:rPr>
          <w:rFonts w:ascii="宋体" w:hAnsi="宋体"/>
          <w:sz w:val="22"/>
          <w:szCs w:val="22"/>
        </w:rPr>
        <w:t>方</w:t>
      </w:r>
      <w:r>
        <w:rPr>
          <w:rFonts w:hint="eastAsia" w:ascii="宋体" w:hAnsi="宋体"/>
          <w:sz w:val="22"/>
          <w:szCs w:val="22"/>
        </w:rPr>
        <w:t xml:space="preserve">承担。（3）本合同在双方《年度协议》基础上签订，质量协议、采购订单等是本合同的附件，与本合同具有同等法律效力；本年度的招、投标文件也是本合同不可分割的构成部分；未尽事宜双方可签订补充。（4） </w:t>
      </w:r>
      <w:r>
        <w:rPr>
          <w:rFonts w:ascii="宋体" w:hAnsi="宋体"/>
          <w:sz w:val="22"/>
          <w:szCs w:val="22"/>
        </w:rPr>
        <w:t>出卖人在</w:t>
      </w:r>
      <w:r>
        <w:rPr>
          <w:rFonts w:hint="eastAsia" w:ascii="宋体" w:hAnsi="宋体"/>
          <w:sz w:val="22"/>
          <w:szCs w:val="22"/>
        </w:rPr>
        <w:t>买受人</w:t>
      </w:r>
      <w:r>
        <w:rPr>
          <w:rFonts w:ascii="宋体" w:hAnsi="宋体"/>
          <w:sz w:val="22"/>
          <w:szCs w:val="22"/>
        </w:rPr>
        <w:t>方施工</w:t>
      </w:r>
      <w:r>
        <w:rPr>
          <w:rFonts w:hint="eastAsia" w:ascii="宋体" w:hAnsi="宋体"/>
          <w:sz w:val="22"/>
          <w:szCs w:val="22"/>
        </w:rPr>
        <w:t>、</w:t>
      </w:r>
      <w:r>
        <w:rPr>
          <w:rFonts w:ascii="宋体" w:hAnsi="宋体"/>
          <w:sz w:val="22"/>
          <w:szCs w:val="22"/>
        </w:rPr>
        <w:t>送货期间，必须遵守和执行国家的法律法规和</w:t>
      </w:r>
      <w:r>
        <w:rPr>
          <w:rFonts w:hint="eastAsia" w:ascii="宋体" w:hAnsi="宋体"/>
          <w:sz w:val="22"/>
          <w:szCs w:val="22"/>
        </w:rPr>
        <w:t>买</w:t>
      </w:r>
      <w:r>
        <w:rPr>
          <w:rFonts w:ascii="宋体" w:hAnsi="宋体"/>
          <w:sz w:val="22"/>
          <w:szCs w:val="22"/>
        </w:rPr>
        <w:t>受</w:t>
      </w:r>
      <w:r>
        <w:rPr>
          <w:rFonts w:hint="eastAsia" w:ascii="宋体" w:hAnsi="宋体"/>
          <w:sz w:val="22"/>
          <w:szCs w:val="22"/>
        </w:rPr>
        <w:t>方</w:t>
      </w:r>
      <w:r>
        <w:rPr>
          <w:rFonts w:ascii="宋体" w:hAnsi="宋体"/>
          <w:sz w:val="22"/>
          <w:szCs w:val="22"/>
        </w:rPr>
        <w:t>的规章制度，并接受买受</w:t>
      </w:r>
      <w:r>
        <w:rPr>
          <w:rFonts w:hint="eastAsia" w:ascii="宋体" w:hAnsi="宋体"/>
          <w:sz w:val="22"/>
          <w:szCs w:val="22"/>
        </w:rPr>
        <w:t>方</w:t>
      </w:r>
      <w:r>
        <w:rPr>
          <w:rFonts w:ascii="宋体" w:hAnsi="宋体"/>
          <w:sz w:val="22"/>
          <w:szCs w:val="22"/>
        </w:rPr>
        <w:t>的监督和检查</w:t>
      </w:r>
      <w:r>
        <w:rPr>
          <w:rFonts w:hint="eastAsia" w:ascii="宋体" w:hAnsi="宋体"/>
          <w:sz w:val="22"/>
          <w:szCs w:val="22"/>
        </w:rPr>
        <w:t>，出卖方</w:t>
      </w:r>
      <w:r>
        <w:rPr>
          <w:rFonts w:ascii="宋体" w:hAnsi="宋体"/>
          <w:sz w:val="22"/>
          <w:szCs w:val="22"/>
        </w:rPr>
        <w:t>人员违规买</w:t>
      </w:r>
      <w:r>
        <w:rPr>
          <w:rFonts w:hint="eastAsia" w:ascii="宋体" w:hAnsi="宋体"/>
          <w:sz w:val="22"/>
          <w:szCs w:val="22"/>
        </w:rPr>
        <w:t>受</w:t>
      </w:r>
      <w:r>
        <w:rPr>
          <w:rFonts w:ascii="宋体" w:hAnsi="宋体"/>
          <w:sz w:val="22"/>
          <w:szCs w:val="22"/>
        </w:rPr>
        <w:t>方有权进行教育、处罚</w:t>
      </w:r>
      <w:r>
        <w:rPr>
          <w:rFonts w:hint="eastAsia" w:ascii="宋体" w:hAnsi="宋体"/>
          <w:sz w:val="22"/>
          <w:szCs w:val="22"/>
        </w:rPr>
        <w:t>。</w:t>
      </w:r>
      <w:r>
        <w:rPr>
          <w:rFonts w:ascii="宋体" w:hAnsi="宋体"/>
          <w:sz w:val="22"/>
          <w:szCs w:val="22"/>
        </w:rPr>
        <w:t>在</w:t>
      </w:r>
      <w:r>
        <w:rPr>
          <w:rFonts w:hint="eastAsia" w:ascii="宋体" w:hAnsi="宋体"/>
          <w:sz w:val="22"/>
          <w:szCs w:val="22"/>
        </w:rPr>
        <w:t>维修、</w:t>
      </w:r>
      <w:r>
        <w:rPr>
          <w:rFonts w:ascii="宋体" w:hAnsi="宋体"/>
          <w:sz w:val="22"/>
          <w:szCs w:val="22"/>
        </w:rPr>
        <w:t>送货过程中的</w:t>
      </w:r>
      <w:r>
        <w:rPr>
          <w:rFonts w:hint="eastAsia" w:ascii="宋体" w:hAnsi="宋体"/>
          <w:sz w:val="22"/>
          <w:szCs w:val="22"/>
        </w:rPr>
        <w:t>个人</w:t>
      </w:r>
      <w:r>
        <w:rPr>
          <w:rFonts w:ascii="宋体" w:hAnsi="宋体"/>
          <w:sz w:val="22"/>
          <w:szCs w:val="22"/>
        </w:rPr>
        <w:t>劳动防护用品由出卖人自理，并要自觉穿戴，买</w:t>
      </w:r>
      <w:r>
        <w:rPr>
          <w:rFonts w:hint="eastAsia" w:ascii="宋体" w:hAnsi="宋体"/>
          <w:sz w:val="22"/>
          <w:szCs w:val="22"/>
        </w:rPr>
        <w:t>受</w:t>
      </w:r>
      <w:r>
        <w:rPr>
          <w:rFonts w:ascii="宋体" w:hAnsi="宋体"/>
          <w:sz w:val="22"/>
          <w:szCs w:val="22"/>
        </w:rPr>
        <w:t>人有权现场监督。</w:t>
      </w:r>
    </w:p>
    <w:p>
      <w:pPr>
        <w:pStyle w:val="18"/>
        <w:keepNext w:val="0"/>
        <w:keepLines w:val="0"/>
        <w:pageBreakBefore w:val="0"/>
        <w:widowControl w:val="0"/>
        <w:kinsoku/>
        <w:wordWrap/>
        <w:overflowPunct/>
        <w:topLinePunct w:val="0"/>
        <w:bidi w:val="0"/>
        <w:snapToGrid/>
        <w:spacing w:line="520" w:lineRule="exact"/>
        <w:ind w:left="0" w:leftChars="0" w:firstLine="440" w:firstLineChars="200"/>
        <w:jc w:val="both"/>
        <w:textAlignment w:val="auto"/>
        <w:rPr>
          <w:rFonts w:hint="eastAsia" w:hAnsi="宋体"/>
          <w:sz w:val="22"/>
          <w:szCs w:val="22"/>
        </w:rPr>
      </w:pPr>
      <w:r>
        <w:rPr>
          <w:rFonts w:hint="eastAsia" w:hAnsi="宋体"/>
          <w:sz w:val="22"/>
          <w:szCs w:val="22"/>
        </w:rPr>
        <w:t>第十</w:t>
      </w:r>
      <w:r>
        <w:rPr>
          <w:rFonts w:hint="eastAsia" w:hAnsi="宋体"/>
          <w:sz w:val="22"/>
          <w:szCs w:val="22"/>
          <w:lang w:val="en-US" w:eastAsia="zh-CN"/>
        </w:rPr>
        <w:t>三</w:t>
      </w:r>
      <w:r>
        <w:rPr>
          <w:rFonts w:hint="eastAsia" w:hAnsi="宋体"/>
          <w:sz w:val="22"/>
          <w:szCs w:val="22"/>
        </w:rPr>
        <w:t>条、争议处理方式：因本合同发生争议，双方协商解决，协商不成，向买方所在地人民法院提起诉讼。</w:t>
      </w:r>
    </w:p>
    <w:tbl>
      <w:tblPr>
        <w:tblStyle w:val="33"/>
        <w:tblpPr w:leftFromText="180" w:rightFromText="180" w:vertAnchor="text" w:horzAnchor="page" w:tblpX="1065" w:tblpY="35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9"/>
        <w:gridCol w:w="5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trPr>
        <w:tc>
          <w:tcPr>
            <w:tcW w:w="4889" w:type="dxa"/>
            <w:noWrap w:val="0"/>
            <w:vAlign w:val="top"/>
          </w:tcPr>
          <w:p>
            <w:pPr>
              <w:spacing w:line="360" w:lineRule="auto"/>
              <w:jc w:val="center"/>
              <w:rPr>
                <w:rFonts w:hint="eastAsia" w:ascii="宋体" w:hAnsi="宋体"/>
                <w:bCs/>
                <w:sz w:val="22"/>
                <w:szCs w:val="22"/>
              </w:rPr>
            </w:pPr>
            <w:r>
              <w:rPr>
                <w:rFonts w:hint="eastAsia" w:ascii="宋体" w:hAnsi="宋体"/>
                <w:bCs/>
                <w:sz w:val="22"/>
                <w:szCs w:val="22"/>
              </w:rPr>
              <w:t>买  方</w:t>
            </w:r>
          </w:p>
          <w:p>
            <w:pPr>
              <w:spacing w:line="360" w:lineRule="auto"/>
              <w:rPr>
                <w:rFonts w:hint="eastAsia" w:ascii="宋体" w:hAnsi="宋体"/>
                <w:bCs/>
                <w:sz w:val="22"/>
                <w:szCs w:val="22"/>
              </w:rPr>
            </w:pPr>
            <w:r>
              <w:rPr>
                <w:rFonts w:hint="eastAsia" w:ascii="宋体" w:hAnsi="宋体"/>
                <w:bCs/>
                <w:sz w:val="22"/>
                <w:szCs w:val="22"/>
              </w:rPr>
              <w:t>买方（章）：</w:t>
            </w:r>
            <w:r>
              <w:rPr>
                <w:rFonts w:hint="eastAsia" w:ascii="宋体" w:hAnsi="宋体"/>
                <w:bCs/>
                <w:sz w:val="22"/>
                <w:szCs w:val="22"/>
                <w:lang w:eastAsia="zh-CN"/>
              </w:rPr>
              <w:t>辰胜</w:t>
            </w:r>
            <w:r>
              <w:rPr>
                <w:rFonts w:hint="eastAsia" w:ascii="宋体" w:hAnsi="宋体"/>
                <w:bCs/>
                <w:sz w:val="22"/>
                <w:szCs w:val="22"/>
              </w:rPr>
              <w:t>集成科技股份有限公司</w:t>
            </w:r>
          </w:p>
          <w:p>
            <w:pPr>
              <w:spacing w:line="360" w:lineRule="auto"/>
              <w:rPr>
                <w:rFonts w:hint="eastAsia" w:ascii="宋体" w:hAnsi="宋体"/>
                <w:bCs/>
                <w:sz w:val="22"/>
                <w:szCs w:val="22"/>
              </w:rPr>
            </w:pPr>
            <w:r>
              <w:rPr>
                <w:rFonts w:hint="eastAsia" w:ascii="宋体" w:hAnsi="宋体"/>
                <w:bCs/>
                <w:sz w:val="22"/>
                <w:szCs w:val="22"/>
              </w:rPr>
              <w:t>住所：宝应县氾水镇工业集中区骏升路13号</w:t>
            </w:r>
          </w:p>
          <w:p>
            <w:pPr>
              <w:spacing w:line="360" w:lineRule="auto"/>
              <w:rPr>
                <w:rFonts w:hint="eastAsia" w:ascii="宋体" w:hAnsi="宋体"/>
                <w:bCs/>
                <w:sz w:val="22"/>
                <w:szCs w:val="22"/>
              </w:rPr>
            </w:pPr>
            <w:r>
              <w:rPr>
                <w:rFonts w:hint="eastAsia" w:ascii="宋体" w:hAnsi="宋体"/>
                <w:bCs/>
                <w:sz w:val="22"/>
                <w:szCs w:val="22"/>
              </w:rPr>
              <w:t>法定代表人：</w:t>
            </w:r>
          </w:p>
          <w:p>
            <w:pPr>
              <w:spacing w:line="360" w:lineRule="auto"/>
              <w:rPr>
                <w:rFonts w:hint="eastAsia" w:ascii="宋体" w:hAnsi="宋体"/>
                <w:bCs/>
                <w:sz w:val="22"/>
                <w:szCs w:val="22"/>
              </w:rPr>
            </w:pPr>
            <w:r>
              <w:rPr>
                <w:rFonts w:hint="eastAsia" w:ascii="宋体" w:hAnsi="宋体"/>
                <w:bCs/>
                <w:sz w:val="22"/>
                <w:szCs w:val="22"/>
              </w:rPr>
              <w:t xml:space="preserve">委托代理人： </w:t>
            </w:r>
          </w:p>
          <w:p>
            <w:pPr>
              <w:spacing w:line="360" w:lineRule="auto"/>
              <w:rPr>
                <w:rFonts w:hint="eastAsia" w:ascii="宋体" w:hAnsi="宋体"/>
                <w:bCs/>
                <w:sz w:val="22"/>
                <w:szCs w:val="22"/>
              </w:rPr>
            </w:pPr>
            <w:r>
              <w:rPr>
                <w:rFonts w:hint="eastAsia" w:ascii="宋体" w:hAnsi="宋体"/>
                <w:bCs/>
                <w:sz w:val="22"/>
                <w:szCs w:val="22"/>
              </w:rPr>
              <w:t xml:space="preserve">电话：0514-88422666 </w:t>
            </w:r>
          </w:p>
          <w:p>
            <w:pPr>
              <w:spacing w:line="360" w:lineRule="auto"/>
              <w:rPr>
                <w:rFonts w:hint="eastAsia" w:ascii="宋体" w:hAnsi="宋体"/>
                <w:bCs/>
                <w:sz w:val="22"/>
                <w:szCs w:val="22"/>
              </w:rPr>
            </w:pPr>
            <w:r>
              <w:rPr>
                <w:rFonts w:hint="eastAsia" w:ascii="宋体" w:hAnsi="宋体"/>
                <w:bCs/>
                <w:sz w:val="22"/>
                <w:szCs w:val="22"/>
              </w:rPr>
              <w:t xml:space="preserve">传真：0514-88420766 </w:t>
            </w:r>
          </w:p>
          <w:p>
            <w:pPr>
              <w:spacing w:line="360" w:lineRule="auto"/>
              <w:rPr>
                <w:rFonts w:hint="eastAsia" w:ascii="宋体" w:hAnsi="宋体"/>
                <w:bCs/>
                <w:sz w:val="22"/>
                <w:szCs w:val="22"/>
              </w:rPr>
            </w:pPr>
            <w:r>
              <w:rPr>
                <w:rFonts w:hint="eastAsia" w:ascii="宋体" w:hAnsi="宋体"/>
                <w:bCs/>
                <w:sz w:val="22"/>
                <w:szCs w:val="22"/>
              </w:rPr>
              <w:t xml:space="preserve">税号：91321023753211945X </w:t>
            </w:r>
          </w:p>
          <w:p>
            <w:pPr>
              <w:spacing w:line="360" w:lineRule="auto"/>
              <w:rPr>
                <w:rFonts w:hint="eastAsia" w:ascii="宋体" w:hAnsi="宋体"/>
                <w:bCs/>
                <w:sz w:val="22"/>
                <w:szCs w:val="22"/>
              </w:rPr>
            </w:pPr>
            <w:r>
              <w:rPr>
                <w:rFonts w:hint="eastAsia" w:ascii="宋体" w:hAnsi="宋体"/>
                <w:bCs/>
                <w:sz w:val="22"/>
                <w:szCs w:val="22"/>
              </w:rPr>
              <w:t>开户银行：江苏宝应农村商业银行</w:t>
            </w:r>
            <w:r>
              <w:rPr>
                <w:rFonts w:hint="eastAsia" w:ascii="宋体" w:hAnsi="宋体"/>
                <w:bCs/>
                <w:sz w:val="22"/>
                <w:szCs w:val="22"/>
                <w:lang w:eastAsia="zh-CN"/>
              </w:rPr>
              <w:t>范</w:t>
            </w:r>
            <w:r>
              <w:rPr>
                <w:rFonts w:hint="eastAsia" w:ascii="宋体" w:hAnsi="宋体"/>
                <w:bCs/>
                <w:sz w:val="22"/>
                <w:szCs w:val="22"/>
              </w:rPr>
              <w:t>水支行</w:t>
            </w:r>
          </w:p>
          <w:p>
            <w:pPr>
              <w:spacing w:line="360" w:lineRule="auto"/>
              <w:rPr>
                <w:rFonts w:hint="eastAsia" w:ascii="宋体" w:hAnsi="宋体"/>
                <w:sz w:val="22"/>
                <w:szCs w:val="22"/>
              </w:rPr>
            </w:pPr>
            <w:r>
              <w:rPr>
                <w:rFonts w:hint="eastAsia" w:ascii="宋体" w:hAnsi="宋体"/>
                <w:bCs/>
                <w:sz w:val="22"/>
                <w:szCs w:val="22"/>
              </w:rPr>
              <w:t>帐号：3210230701201000018298</w:t>
            </w:r>
          </w:p>
        </w:tc>
        <w:tc>
          <w:tcPr>
            <w:tcW w:w="5251" w:type="dxa"/>
            <w:noWrap w:val="0"/>
            <w:vAlign w:val="top"/>
          </w:tcPr>
          <w:p>
            <w:pPr>
              <w:spacing w:line="360" w:lineRule="auto"/>
              <w:jc w:val="center"/>
              <w:rPr>
                <w:rFonts w:hint="eastAsia" w:ascii="宋体" w:hAnsi="宋体"/>
                <w:b w:val="0"/>
                <w:bCs/>
                <w:sz w:val="22"/>
                <w:szCs w:val="22"/>
              </w:rPr>
            </w:pPr>
            <w:r>
              <w:rPr>
                <w:rFonts w:hint="eastAsia" w:ascii="宋体" w:hAnsi="宋体"/>
                <w:b w:val="0"/>
                <w:bCs/>
                <w:sz w:val="22"/>
                <w:szCs w:val="22"/>
              </w:rPr>
              <w:t>卖 方</w:t>
            </w:r>
          </w:p>
          <w:p>
            <w:pPr>
              <w:spacing w:line="360" w:lineRule="auto"/>
              <w:rPr>
                <w:rFonts w:hint="eastAsia" w:ascii="宋体" w:hAnsi="宋体"/>
                <w:sz w:val="22"/>
                <w:szCs w:val="22"/>
              </w:rPr>
            </w:pPr>
            <w:r>
              <w:rPr>
                <w:rFonts w:hint="eastAsia" w:ascii="宋体" w:hAnsi="宋体"/>
                <w:sz w:val="22"/>
                <w:szCs w:val="22"/>
              </w:rPr>
              <w:t>卖方（章）：</w:t>
            </w:r>
          </w:p>
          <w:p>
            <w:pPr>
              <w:spacing w:line="360" w:lineRule="auto"/>
              <w:rPr>
                <w:rFonts w:hint="eastAsia" w:ascii="宋体" w:hAnsi="宋体"/>
                <w:sz w:val="22"/>
                <w:szCs w:val="22"/>
                <w:lang w:val="en-US" w:eastAsia="zh-CN"/>
              </w:rPr>
            </w:pPr>
            <w:r>
              <w:rPr>
                <w:rFonts w:hint="eastAsia" w:ascii="宋体" w:hAnsi="宋体"/>
                <w:sz w:val="22"/>
                <w:szCs w:val="22"/>
              </w:rPr>
              <w:t>住所：</w:t>
            </w:r>
          </w:p>
          <w:p>
            <w:pPr>
              <w:spacing w:line="360" w:lineRule="auto"/>
              <w:rPr>
                <w:rFonts w:hint="eastAsia" w:ascii="宋体" w:hAnsi="宋体" w:eastAsia="宋体"/>
                <w:sz w:val="22"/>
                <w:szCs w:val="22"/>
                <w:lang w:eastAsia="zh-CN"/>
              </w:rPr>
            </w:pPr>
            <w:r>
              <w:rPr>
                <w:rFonts w:hint="eastAsia" w:ascii="宋体" w:hAnsi="宋体"/>
                <w:sz w:val="22"/>
                <w:szCs w:val="22"/>
              </w:rPr>
              <w:t>法定代表人：</w:t>
            </w:r>
          </w:p>
          <w:p>
            <w:pPr>
              <w:spacing w:line="360" w:lineRule="auto"/>
              <w:rPr>
                <w:rFonts w:hint="eastAsia" w:ascii="宋体" w:hAnsi="宋体"/>
                <w:sz w:val="22"/>
                <w:szCs w:val="22"/>
              </w:rPr>
            </w:pPr>
            <w:r>
              <w:rPr>
                <w:rFonts w:hint="eastAsia" w:ascii="宋体" w:hAnsi="宋体"/>
                <w:sz w:val="22"/>
                <w:szCs w:val="22"/>
              </w:rPr>
              <w:t xml:space="preserve">委托代理人： </w:t>
            </w:r>
          </w:p>
          <w:p>
            <w:pPr>
              <w:spacing w:line="360" w:lineRule="auto"/>
              <w:rPr>
                <w:rFonts w:hint="default" w:ascii="宋体" w:hAnsi="宋体" w:eastAsia="宋体"/>
                <w:sz w:val="22"/>
                <w:szCs w:val="22"/>
                <w:lang w:val="en-US" w:eastAsia="zh-CN"/>
              </w:rPr>
            </w:pPr>
            <w:r>
              <w:rPr>
                <w:rFonts w:hint="eastAsia" w:ascii="宋体" w:hAnsi="宋体"/>
                <w:sz w:val="22"/>
                <w:szCs w:val="22"/>
              </w:rPr>
              <w:t>电话：</w:t>
            </w:r>
          </w:p>
          <w:p>
            <w:pPr>
              <w:spacing w:line="360" w:lineRule="auto"/>
              <w:rPr>
                <w:rFonts w:hint="eastAsia" w:ascii="宋体" w:hAnsi="宋体"/>
                <w:b/>
                <w:sz w:val="22"/>
                <w:szCs w:val="22"/>
              </w:rPr>
            </w:pPr>
            <w:r>
              <w:rPr>
                <w:rFonts w:hint="eastAsia" w:ascii="宋体" w:hAnsi="宋体"/>
                <w:sz w:val="22"/>
                <w:szCs w:val="22"/>
              </w:rPr>
              <w:t>传真：</w:t>
            </w:r>
          </w:p>
          <w:p>
            <w:pPr>
              <w:spacing w:line="360" w:lineRule="auto"/>
              <w:rPr>
                <w:rFonts w:hint="eastAsia" w:ascii="宋体" w:hAnsi="宋体"/>
                <w:sz w:val="22"/>
                <w:szCs w:val="22"/>
              </w:rPr>
            </w:pPr>
            <w:r>
              <w:rPr>
                <w:rFonts w:hint="eastAsia" w:ascii="宋体" w:hAnsi="宋体"/>
                <w:sz w:val="22"/>
                <w:szCs w:val="22"/>
              </w:rPr>
              <w:t>税号：</w:t>
            </w:r>
          </w:p>
          <w:p>
            <w:pPr>
              <w:spacing w:line="360" w:lineRule="auto"/>
              <w:rPr>
                <w:rFonts w:hint="eastAsia" w:ascii="宋体" w:hAnsi="宋体" w:eastAsia="宋体"/>
                <w:sz w:val="22"/>
                <w:szCs w:val="22"/>
                <w:lang w:eastAsia="zh-CN"/>
              </w:rPr>
            </w:pPr>
            <w:r>
              <w:rPr>
                <w:rFonts w:hint="eastAsia" w:ascii="宋体" w:hAnsi="宋体"/>
                <w:sz w:val="22"/>
                <w:szCs w:val="22"/>
              </w:rPr>
              <w:t>开户银行：</w:t>
            </w:r>
          </w:p>
          <w:p>
            <w:pPr>
              <w:spacing w:line="360" w:lineRule="auto"/>
              <w:rPr>
                <w:rFonts w:ascii="宋体" w:hAnsi="宋体"/>
                <w:b/>
                <w:sz w:val="22"/>
                <w:szCs w:val="22"/>
              </w:rPr>
            </w:pPr>
            <w:r>
              <w:rPr>
                <w:rFonts w:hint="eastAsia" w:ascii="宋体" w:hAnsi="宋体"/>
                <w:sz w:val="22"/>
                <w:szCs w:val="22"/>
              </w:rPr>
              <w:t>账号：</w:t>
            </w:r>
          </w:p>
        </w:tc>
      </w:tr>
    </w:tbl>
    <w:p>
      <w:pPr>
        <w:pStyle w:val="18"/>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40" w:firstLineChars="200"/>
        <w:jc w:val="both"/>
        <w:textAlignment w:val="auto"/>
        <w:rPr>
          <w:rFonts w:hint="eastAsia" w:hAnsi="宋体"/>
          <w:sz w:val="22"/>
          <w:szCs w:val="22"/>
        </w:rPr>
      </w:pPr>
      <w:r>
        <w:rPr>
          <w:rFonts w:hint="eastAsia" w:hAnsi="宋体"/>
          <w:sz w:val="22"/>
          <w:szCs w:val="22"/>
          <w:lang w:val="en-US" w:eastAsia="zh-CN"/>
        </w:rPr>
        <w:t>第十四条、</w:t>
      </w:r>
      <w:r>
        <w:rPr>
          <w:rFonts w:hAnsi="宋体"/>
          <w:sz w:val="22"/>
          <w:szCs w:val="22"/>
        </w:rPr>
        <w:t>本合同一式</w:t>
      </w:r>
      <w:r>
        <w:rPr>
          <w:rFonts w:hint="eastAsia" w:hAnsi="宋体"/>
          <w:sz w:val="22"/>
          <w:szCs w:val="22"/>
        </w:rPr>
        <w:t>两</w:t>
      </w:r>
      <w:r>
        <w:rPr>
          <w:rFonts w:hAnsi="宋体"/>
          <w:sz w:val="22"/>
          <w:szCs w:val="22"/>
        </w:rPr>
        <w:t>份，</w:t>
      </w:r>
      <w:r>
        <w:rPr>
          <w:rFonts w:hint="eastAsia" w:hAnsi="宋体"/>
          <w:sz w:val="22"/>
          <w:szCs w:val="22"/>
        </w:rPr>
        <w:t>买卖</w:t>
      </w:r>
      <w:r>
        <w:rPr>
          <w:rFonts w:hAnsi="宋体"/>
          <w:sz w:val="22"/>
          <w:szCs w:val="22"/>
        </w:rPr>
        <w:t>双方各执</w:t>
      </w:r>
      <w:r>
        <w:rPr>
          <w:rFonts w:hint="eastAsia" w:hAnsi="宋体"/>
          <w:sz w:val="22"/>
          <w:szCs w:val="22"/>
        </w:rPr>
        <w:t>壹</w:t>
      </w:r>
      <w:r>
        <w:rPr>
          <w:rFonts w:hAnsi="宋体"/>
          <w:sz w:val="22"/>
          <w:szCs w:val="22"/>
        </w:rPr>
        <w:t>份</w:t>
      </w:r>
      <w:r>
        <w:rPr>
          <w:rFonts w:hint="eastAsia" w:hAnsi="宋体"/>
          <w:sz w:val="22"/>
          <w:szCs w:val="22"/>
        </w:rPr>
        <w:t>，自双方签字、</w:t>
      </w:r>
      <w:r>
        <w:rPr>
          <w:rFonts w:hAnsi="宋体"/>
          <w:sz w:val="22"/>
          <w:szCs w:val="22"/>
        </w:rPr>
        <w:t>盖章之日</w:t>
      </w:r>
      <w:r>
        <w:rPr>
          <w:rFonts w:hint="eastAsia" w:hAnsi="宋体"/>
          <w:sz w:val="22"/>
          <w:szCs w:val="22"/>
        </w:rPr>
        <w:t>起生效，且传真件（回转件）与原件具有同等效力。</w:t>
      </w:r>
    </w:p>
    <w:p>
      <w:pPr>
        <w:pStyle w:val="18"/>
        <w:keepNext w:val="0"/>
        <w:keepLines w:val="0"/>
        <w:pageBreakBefore w:val="0"/>
        <w:widowControl w:val="0"/>
        <w:kinsoku/>
        <w:wordWrap/>
        <w:overflowPunct/>
        <w:topLinePunct w:val="0"/>
        <w:autoSpaceDE/>
        <w:autoSpaceDN/>
        <w:bidi w:val="0"/>
        <w:adjustRightInd/>
        <w:snapToGrid/>
        <w:spacing w:line="520" w:lineRule="exact"/>
        <w:ind w:firstLine="440" w:firstLineChars="200"/>
        <w:textAlignment w:val="auto"/>
        <w:rPr>
          <w:rFonts w:hint="eastAsia" w:hAnsi="宋体"/>
          <w:sz w:val="22"/>
          <w:szCs w:val="22"/>
          <w:u w:val="single"/>
          <w:lang w:val="en-US" w:eastAsia="zh-CN"/>
        </w:rPr>
      </w:pPr>
      <w:r>
        <w:rPr>
          <w:rFonts w:hint="eastAsia" w:hAnsi="宋体"/>
          <w:sz w:val="22"/>
          <w:szCs w:val="22"/>
        </w:rPr>
        <w:t>第十</w:t>
      </w:r>
      <w:r>
        <w:rPr>
          <w:rFonts w:hint="eastAsia" w:hAnsi="宋体"/>
          <w:sz w:val="22"/>
          <w:szCs w:val="22"/>
          <w:lang w:val="en-US" w:eastAsia="zh-CN"/>
        </w:rPr>
        <w:t>五</w:t>
      </w:r>
      <w:r>
        <w:rPr>
          <w:rFonts w:hint="eastAsia" w:hAnsi="宋体"/>
          <w:sz w:val="22"/>
          <w:szCs w:val="22"/>
        </w:rPr>
        <w:t>条、合同原件邮寄方式为邮寄联系人：</w:t>
      </w:r>
      <w:r>
        <w:rPr>
          <w:rFonts w:hint="eastAsia" w:hAnsi="宋体"/>
          <w:sz w:val="22"/>
          <w:szCs w:val="22"/>
          <w:u w:val="single"/>
        </w:rPr>
        <w:t>强文豪</w:t>
      </w:r>
      <w:r>
        <w:rPr>
          <w:rFonts w:hint="eastAsia" w:hAnsi="宋体"/>
          <w:sz w:val="22"/>
          <w:szCs w:val="22"/>
        </w:rPr>
        <w:t>，邮寄联系人电话：</w:t>
      </w:r>
      <w:r>
        <w:rPr>
          <w:rFonts w:hint="eastAsia" w:hAnsi="宋体"/>
          <w:sz w:val="22"/>
          <w:szCs w:val="22"/>
          <w:u w:val="single"/>
        </w:rPr>
        <w:t>18252771822</w:t>
      </w:r>
      <w:r>
        <w:rPr>
          <w:rFonts w:hint="eastAsia" w:hAnsi="宋体"/>
          <w:sz w:val="22"/>
          <w:szCs w:val="22"/>
        </w:rPr>
        <w:t>，邮寄地址：</w:t>
      </w:r>
      <w:r>
        <w:rPr>
          <w:rFonts w:hint="eastAsia" w:hAnsi="宋体"/>
          <w:sz w:val="22"/>
          <w:szCs w:val="22"/>
          <w:u w:val="single"/>
          <w:lang w:val="en-US" w:eastAsia="zh-CN"/>
        </w:rPr>
        <w:t>宝应县</w:t>
      </w:r>
      <w:r>
        <w:rPr>
          <w:rFonts w:hint="eastAsia" w:hAnsi="宋体"/>
          <w:sz w:val="22"/>
          <w:szCs w:val="22"/>
          <w:u w:val="single"/>
        </w:rPr>
        <w:t>氾水</w:t>
      </w:r>
      <w:r>
        <w:rPr>
          <w:rFonts w:hint="eastAsia" w:hAnsi="宋体"/>
          <w:sz w:val="22"/>
          <w:szCs w:val="22"/>
          <w:u w:val="single"/>
          <w:lang w:eastAsia="zh-CN"/>
        </w:rPr>
        <w:t>镇</w:t>
      </w:r>
      <w:r>
        <w:rPr>
          <w:rFonts w:hint="eastAsia" w:hAnsi="宋体"/>
          <w:sz w:val="22"/>
          <w:szCs w:val="22"/>
          <w:u w:val="single"/>
        </w:rPr>
        <w:t>工业</w:t>
      </w:r>
      <w:r>
        <w:rPr>
          <w:rFonts w:hint="eastAsia" w:hAnsi="宋体"/>
          <w:sz w:val="22"/>
          <w:szCs w:val="22"/>
          <w:u w:val="single"/>
          <w:lang w:eastAsia="zh-CN"/>
        </w:rPr>
        <w:t>集中区</w:t>
      </w:r>
      <w:r>
        <w:rPr>
          <w:rFonts w:hint="eastAsia" w:hAnsi="宋体"/>
          <w:sz w:val="22"/>
          <w:szCs w:val="22"/>
          <w:u w:val="single"/>
        </w:rPr>
        <w:t>骏升</w:t>
      </w:r>
      <w:r>
        <w:rPr>
          <w:rFonts w:hint="eastAsia" w:hAnsi="宋体"/>
          <w:sz w:val="22"/>
          <w:szCs w:val="22"/>
          <w:u w:val="single"/>
          <w:lang w:val="en-US" w:eastAsia="zh-CN"/>
        </w:rPr>
        <w:t>路13号。</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szCs w:val="21"/>
        </w:rPr>
      </w:pPr>
    </w:p>
    <w:p>
      <w:pPr>
        <w:spacing w:line="320" w:lineRule="exact"/>
        <w:rPr>
          <w:rFonts w:hint="eastAsia"/>
          <w:b/>
          <w:sz w:val="28"/>
          <w:szCs w:val="28"/>
        </w:rPr>
      </w:pPr>
    </w:p>
    <w:p>
      <w:pPr>
        <w:spacing w:line="360" w:lineRule="auto"/>
        <w:jc w:val="center"/>
        <w:rPr>
          <w:rFonts w:hint="eastAsia" w:ascii="黑体" w:hAnsi="宋体" w:eastAsia="黑体" w:cs="宋体"/>
          <w:b/>
          <w:sz w:val="30"/>
          <w:szCs w:val="30"/>
        </w:rPr>
      </w:pPr>
    </w:p>
    <w:p>
      <w:pPr>
        <w:spacing w:line="360" w:lineRule="auto"/>
        <w:jc w:val="center"/>
        <w:rPr>
          <w:rFonts w:hint="eastAsia" w:ascii="黑体" w:hAnsi="宋体" w:eastAsia="黑体" w:cs="宋体"/>
          <w:b/>
          <w:sz w:val="30"/>
          <w:szCs w:val="30"/>
        </w:rPr>
      </w:pPr>
      <w:r>
        <w:rPr>
          <w:rFonts w:hint="eastAsia" w:ascii="黑体" w:hAnsi="宋体" w:eastAsia="黑体" w:cs="宋体"/>
          <w:b/>
          <w:sz w:val="30"/>
          <w:szCs w:val="30"/>
        </w:rPr>
        <w:br w:type="textWrapping"/>
      </w:r>
    </w:p>
    <w:p>
      <w:pPr>
        <w:spacing w:line="360" w:lineRule="auto"/>
        <w:jc w:val="center"/>
        <w:rPr>
          <w:rFonts w:hint="eastAsia" w:ascii="黑体" w:hAnsi="宋体" w:eastAsia="黑体" w:cs="宋体"/>
          <w:b/>
          <w:sz w:val="30"/>
          <w:szCs w:val="30"/>
        </w:rPr>
      </w:pPr>
      <w:bookmarkStart w:id="9" w:name="_GoBack"/>
      <w:bookmarkEnd w:id="9"/>
    </w:p>
    <w:p>
      <w:pPr>
        <w:spacing w:line="360" w:lineRule="auto"/>
        <w:jc w:val="center"/>
        <w:rPr>
          <w:rFonts w:hint="eastAsia" w:ascii="黑体" w:hAnsi="宋体" w:eastAsia="黑体" w:cs="宋体"/>
          <w:b/>
          <w:sz w:val="30"/>
          <w:szCs w:val="30"/>
        </w:rPr>
      </w:pPr>
    </w:p>
    <w:p>
      <w:pPr>
        <w:spacing w:line="360" w:lineRule="auto"/>
        <w:jc w:val="center"/>
        <w:rPr>
          <w:rFonts w:hint="eastAsia" w:ascii="黑体" w:hAnsi="宋体" w:eastAsia="黑体" w:cs="宋体"/>
          <w:b/>
          <w:sz w:val="30"/>
          <w:szCs w:val="30"/>
        </w:rPr>
      </w:pPr>
    </w:p>
    <w:p>
      <w:pPr>
        <w:spacing w:line="360" w:lineRule="auto"/>
        <w:jc w:val="center"/>
        <w:rPr>
          <w:rFonts w:hint="eastAsia" w:ascii="黑体" w:hAnsi="宋体" w:eastAsia="黑体" w:cs="宋体"/>
          <w:b/>
          <w:sz w:val="30"/>
          <w:szCs w:val="30"/>
        </w:rPr>
      </w:pPr>
    </w:p>
    <w:p>
      <w:pPr>
        <w:spacing w:line="360" w:lineRule="auto"/>
        <w:jc w:val="center"/>
        <w:rPr>
          <w:rFonts w:hint="eastAsia" w:ascii="黑体" w:hAnsi="宋体" w:eastAsia="黑体" w:cs="宋体"/>
          <w:b/>
          <w:sz w:val="30"/>
          <w:szCs w:val="30"/>
        </w:rPr>
      </w:pPr>
    </w:p>
    <w:p>
      <w:pPr>
        <w:spacing w:line="360" w:lineRule="auto"/>
        <w:jc w:val="center"/>
        <w:rPr>
          <w:rFonts w:ascii="黑体" w:hAnsi="宋体" w:eastAsia="黑体" w:cs="宋体"/>
          <w:b/>
          <w:sz w:val="30"/>
          <w:szCs w:val="30"/>
        </w:rPr>
      </w:pPr>
      <w:r>
        <w:rPr>
          <w:rFonts w:hint="eastAsia" w:ascii="黑体" w:hAnsi="宋体" w:eastAsia="黑体" w:cs="宋体"/>
          <w:b/>
          <w:sz w:val="30"/>
          <w:szCs w:val="30"/>
        </w:rPr>
        <w:t>第六章附件</w:t>
      </w:r>
    </w:p>
    <w:p>
      <w:pPr>
        <w:spacing w:line="360" w:lineRule="auto"/>
        <w:jc w:val="center"/>
        <w:rPr>
          <w:b/>
          <w:color w:val="000000"/>
          <w:szCs w:val="21"/>
        </w:rPr>
      </w:pPr>
    </w:p>
    <w:p>
      <w:pPr>
        <w:spacing w:line="360" w:lineRule="auto"/>
        <w:jc w:val="center"/>
        <w:rPr>
          <w:color w:val="000000"/>
          <w:szCs w:val="21"/>
        </w:rPr>
      </w:pPr>
      <w:r>
        <w:rPr>
          <w:rFonts w:hint="eastAsia"/>
          <w:b/>
          <w:color w:val="000000"/>
          <w:szCs w:val="21"/>
        </w:rPr>
        <w:t>6.</w:t>
      </w:r>
      <w:r>
        <w:rPr>
          <w:b/>
          <w:color w:val="000000"/>
          <w:szCs w:val="21"/>
        </w:rPr>
        <w:t>1.</w:t>
      </w:r>
      <w:r>
        <w:rPr>
          <w:rFonts w:hint="eastAsia"/>
          <w:b/>
          <w:color w:val="000000"/>
          <w:szCs w:val="21"/>
        </w:rPr>
        <w:t>投标书</w:t>
      </w:r>
    </w:p>
    <w:p>
      <w:pPr>
        <w:spacing w:line="360" w:lineRule="auto"/>
        <w:rPr>
          <w:color w:val="000000"/>
          <w:szCs w:val="21"/>
          <w:u w:val="single"/>
        </w:rPr>
      </w:pPr>
      <w:r>
        <w:rPr>
          <w:rFonts w:hint="eastAsia"/>
          <w:color w:val="000000"/>
          <w:szCs w:val="21"/>
        </w:rPr>
        <w:t>致：</w:t>
      </w:r>
      <w:r>
        <w:rPr>
          <w:rFonts w:hint="eastAsia"/>
          <w:color w:val="000000"/>
          <w:szCs w:val="21"/>
          <w:u w:val="single"/>
        </w:rPr>
        <w:t>（招标单位）</w:t>
      </w:r>
    </w:p>
    <w:p>
      <w:pPr>
        <w:spacing w:line="360" w:lineRule="auto"/>
        <w:ind w:firstLine="560"/>
        <w:rPr>
          <w:color w:val="000000"/>
          <w:szCs w:val="21"/>
        </w:rPr>
      </w:pPr>
      <w:r>
        <w:rPr>
          <w:rFonts w:hint="eastAsia"/>
          <w:color w:val="000000"/>
          <w:szCs w:val="21"/>
        </w:rPr>
        <w:t>根据贵方为</w:t>
      </w:r>
      <w:r>
        <w:rPr>
          <w:rFonts w:hint="eastAsia"/>
          <w:color w:val="000000"/>
          <w:szCs w:val="21"/>
          <w:u w:val="single"/>
        </w:rPr>
        <w:t>（）</w:t>
      </w:r>
      <w:r>
        <w:rPr>
          <w:rFonts w:hint="eastAsia"/>
          <w:color w:val="000000"/>
          <w:szCs w:val="21"/>
        </w:rPr>
        <w:t>项目招标采购货物及服务的投标邀请，签字代表</w:t>
      </w:r>
      <w:r>
        <w:rPr>
          <w:rFonts w:hint="eastAsia"/>
          <w:color w:val="000000"/>
          <w:szCs w:val="21"/>
          <w:u w:val="single"/>
        </w:rPr>
        <w:t>（姓名、职务）</w:t>
      </w:r>
      <w:r>
        <w:rPr>
          <w:rFonts w:hint="eastAsia"/>
          <w:color w:val="000000"/>
          <w:szCs w:val="21"/>
        </w:rPr>
        <w:t>经正式授权并代表投标人</w:t>
      </w:r>
      <w:r>
        <w:rPr>
          <w:rFonts w:hint="eastAsia"/>
          <w:color w:val="000000"/>
          <w:szCs w:val="21"/>
          <w:u w:val="single"/>
        </w:rPr>
        <w:t>（投标人名称、地址）</w:t>
      </w:r>
      <w:r>
        <w:rPr>
          <w:rFonts w:hint="eastAsia"/>
          <w:color w:val="000000"/>
          <w:szCs w:val="21"/>
        </w:rPr>
        <w:t>提交下述文件正本一份及副本</w:t>
      </w:r>
      <w:r>
        <w:rPr>
          <w:rFonts w:hint="eastAsia"/>
          <w:color w:val="000000"/>
          <w:szCs w:val="21"/>
          <w:u w:val="single"/>
        </w:rPr>
        <w:t>一</w:t>
      </w:r>
      <w:r>
        <w:rPr>
          <w:rFonts w:hint="eastAsia"/>
          <w:color w:val="000000"/>
          <w:szCs w:val="21"/>
        </w:rPr>
        <w:t>份：</w:t>
      </w:r>
    </w:p>
    <w:p>
      <w:pPr>
        <w:numPr>
          <w:ilvl w:val="0"/>
          <w:numId w:val="2"/>
        </w:numPr>
        <w:spacing w:line="360" w:lineRule="auto"/>
        <w:rPr>
          <w:color w:val="000000"/>
          <w:szCs w:val="21"/>
        </w:rPr>
      </w:pPr>
      <w:r>
        <w:rPr>
          <w:rFonts w:hint="eastAsia"/>
          <w:color w:val="000000"/>
          <w:szCs w:val="21"/>
        </w:rPr>
        <w:t>投标一览表</w:t>
      </w:r>
    </w:p>
    <w:p>
      <w:pPr>
        <w:numPr>
          <w:ilvl w:val="0"/>
          <w:numId w:val="2"/>
        </w:numPr>
        <w:spacing w:line="360" w:lineRule="auto"/>
        <w:rPr>
          <w:color w:val="000000"/>
          <w:szCs w:val="21"/>
        </w:rPr>
      </w:pPr>
      <w:r>
        <w:rPr>
          <w:rFonts w:hint="eastAsia"/>
          <w:color w:val="000000"/>
          <w:szCs w:val="21"/>
        </w:rPr>
        <w:t>投标分项报价表</w:t>
      </w:r>
    </w:p>
    <w:p>
      <w:pPr>
        <w:numPr>
          <w:ilvl w:val="0"/>
          <w:numId w:val="2"/>
        </w:numPr>
        <w:spacing w:line="360" w:lineRule="auto"/>
        <w:rPr>
          <w:color w:val="000000"/>
          <w:szCs w:val="21"/>
        </w:rPr>
      </w:pPr>
      <w:r>
        <w:rPr>
          <w:rFonts w:hint="eastAsia"/>
          <w:color w:val="000000"/>
          <w:szCs w:val="21"/>
        </w:rPr>
        <w:t>技术规格偏离表</w:t>
      </w:r>
    </w:p>
    <w:p>
      <w:pPr>
        <w:numPr>
          <w:ilvl w:val="0"/>
          <w:numId w:val="2"/>
        </w:numPr>
        <w:spacing w:line="360" w:lineRule="auto"/>
        <w:rPr>
          <w:color w:val="000000"/>
          <w:szCs w:val="21"/>
        </w:rPr>
      </w:pPr>
      <w:r>
        <w:rPr>
          <w:rFonts w:hint="eastAsia"/>
          <w:color w:val="000000"/>
          <w:szCs w:val="21"/>
        </w:rPr>
        <w:t>商务条款偏离表</w:t>
      </w:r>
    </w:p>
    <w:p>
      <w:pPr>
        <w:numPr>
          <w:ilvl w:val="0"/>
          <w:numId w:val="2"/>
        </w:numPr>
        <w:spacing w:line="360" w:lineRule="auto"/>
        <w:rPr>
          <w:color w:val="000000"/>
          <w:szCs w:val="21"/>
        </w:rPr>
      </w:pPr>
      <w:r>
        <w:rPr>
          <w:rFonts w:hint="eastAsia"/>
          <w:color w:val="000000"/>
          <w:szCs w:val="21"/>
        </w:rPr>
        <w:t>按招标文件投标人须知和技术规格要求提供的有关文件</w:t>
      </w:r>
    </w:p>
    <w:p>
      <w:pPr>
        <w:numPr>
          <w:ilvl w:val="0"/>
          <w:numId w:val="2"/>
        </w:numPr>
        <w:spacing w:line="360" w:lineRule="auto"/>
        <w:rPr>
          <w:color w:val="000000"/>
          <w:szCs w:val="21"/>
        </w:rPr>
      </w:pPr>
      <w:r>
        <w:rPr>
          <w:rFonts w:hint="eastAsia"/>
          <w:color w:val="000000"/>
          <w:szCs w:val="21"/>
        </w:rPr>
        <w:t>资格证明文件</w:t>
      </w:r>
    </w:p>
    <w:p>
      <w:pPr>
        <w:spacing w:line="360" w:lineRule="auto"/>
        <w:ind w:firstLine="560"/>
        <w:rPr>
          <w:color w:val="000000"/>
          <w:szCs w:val="21"/>
        </w:rPr>
      </w:pPr>
      <w:r>
        <w:rPr>
          <w:rFonts w:hint="eastAsia"/>
          <w:color w:val="000000"/>
          <w:szCs w:val="21"/>
        </w:rPr>
        <w:t>据此函，签字代表宣布同意如下：</w:t>
      </w:r>
    </w:p>
    <w:p>
      <w:pPr>
        <w:numPr>
          <w:ilvl w:val="0"/>
          <w:numId w:val="3"/>
        </w:numPr>
        <w:spacing w:line="360" w:lineRule="auto"/>
        <w:rPr>
          <w:color w:val="000000"/>
          <w:szCs w:val="21"/>
        </w:rPr>
      </w:pPr>
      <w:r>
        <w:rPr>
          <w:rFonts w:hint="eastAsia"/>
          <w:color w:val="000000"/>
          <w:szCs w:val="21"/>
        </w:rPr>
        <w:t>所附投标价格表中规定的应提交和交付的设备投标总价为</w:t>
      </w:r>
      <w:r>
        <w:rPr>
          <w:rFonts w:hint="eastAsia"/>
          <w:color w:val="000000"/>
          <w:szCs w:val="21"/>
          <w:u w:val="single"/>
        </w:rPr>
        <w:t>（注明币种，并用文字和数字表示的投标总价）</w:t>
      </w:r>
      <w:r>
        <w:rPr>
          <w:rFonts w:hint="eastAsia"/>
          <w:color w:val="000000"/>
          <w:szCs w:val="21"/>
        </w:rPr>
        <w:t>。</w:t>
      </w:r>
    </w:p>
    <w:p>
      <w:pPr>
        <w:numPr>
          <w:ilvl w:val="0"/>
          <w:numId w:val="3"/>
        </w:numPr>
        <w:spacing w:line="360" w:lineRule="auto"/>
        <w:rPr>
          <w:color w:val="000000"/>
          <w:szCs w:val="21"/>
        </w:rPr>
      </w:pPr>
      <w:r>
        <w:rPr>
          <w:rFonts w:hint="eastAsia"/>
          <w:color w:val="000000"/>
          <w:szCs w:val="21"/>
        </w:rPr>
        <w:t>投标人将按招标文件的规定履行合同责任和义务。</w:t>
      </w:r>
    </w:p>
    <w:p>
      <w:pPr>
        <w:numPr>
          <w:ilvl w:val="0"/>
          <w:numId w:val="3"/>
        </w:numPr>
        <w:spacing w:line="360" w:lineRule="auto"/>
        <w:rPr>
          <w:color w:val="000000"/>
          <w:szCs w:val="21"/>
        </w:rPr>
      </w:pPr>
      <w:r>
        <w:rPr>
          <w:rFonts w:hint="eastAsia"/>
          <w:color w:val="000000"/>
          <w:szCs w:val="21"/>
        </w:rPr>
        <w:t>投标人已详细审查全部招标文件，包括第</w:t>
      </w:r>
      <w:r>
        <w:rPr>
          <w:rFonts w:hint="eastAsia"/>
          <w:color w:val="000000"/>
          <w:szCs w:val="21"/>
          <w:u w:val="single"/>
        </w:rPr>
        <w:t>（编号、补遗书）（如果有的话）</w:t>
      </w:r>
      <w:r>
        <w:rPr>
          <w:rFonts w:hint="eastAsia"/>
          <w:color w:val="000000"/>
          <w:szCs w:val="21"/>
        </w:rPr>
        <w:t>。我们完全理解并同意放弃对这方面有不明及误解的权力。</w:t>
      </w:r>
    </w:p>
    <w:p>
      <w:pPr>
        <w:numPr>
          <w:ilvl w:val="0"/>
          <w:numId w:val="3"/>
        </w:numPr>
        <w:spacing w:line="360" w:lineRule="auto"/>
        <w:rPr>
          <w:color w:val="000000"/>
          <w:szCs w:val="21"/>
        </w:rPr>
      </w:pPr>
      <w:r>
        <w:rPr>
          <w:rFonts w:hint="eastAsia"/>
          <w:color w:val="000000"/>
          <w:szCs w:val="21"/>
        </w:rPr>
        <w:t>本投标有效期为自开标日起</w:t>
      </w:r>
      <w:r>
        <w:rPr>
          <w:rFonts w:hint="eastAsia"/>
          <w:color w:val="000000"/>
          <w:szCs w:val="21"/>
          <w:u w:val="single"/>
        </w:rPr>
        <w:t>120</w:t>
      </w:r>
      <w:r>
        <w:rPr>
          <w:rFonts w:hint="eastAsia"/>
          <w:color w:val="000000"/>
          <w:szCs w:val="21"/>
        </w:rPr>
        <w:t>日历日。</w:t>
      </w:r>
    </w:p>
    <w:p>
      <w:pPr>
        <w:numPr>
          <w:ilvl w:val="0"/>
          <w:numId w:val="3"/>
        </w:numPr>
        <w:spacing w:line="360" w:lineRule="auto"/>
        <w:rPr>
          <w:color w:val="000000"/>
          <w:szCs w:val="21"/>
        </w:rPr>
      </w:pPr>
      <w:r>
        <w:rPr>
          <w:rFonts w:hint="eastAsia"/>
          <w:color w:val="000000"/>
          <w:szCs w:val="21"/>
        </w:rPr>
        <w:t>投标人同意提供按照贵方可能要求的与其投标有关的一切数据或资料，完全理解贵方不一定接受最低价的投标。</w:t>
      </w:r>
    </w:p>
    <w:p>
      <w:pPr>
        <w:numPr>
          <w:ilvl w:val="0"/>
          <w:numId w:val="3"/>
        </w:numPr>
        <w:spacing w:line="360" w:lineRule="auto"/>
        <w:rPr>
          <w:color w:val="000000"/>
          <w:szCs w:val="21"/>
        </w:rPr>
      </w:pPr>
      <w:r>
        <w:rPr>
          <w:rFonts w:hint="eastAsia"/>
          <w:color w:val="000000"/>
          <w:szCs w:val="21"/>
        </w:rPr>
        <w:t>与本投标有关的一切正式往来信函请寄：</w:t>
      </w:r>
      <w:r>
        <w:rPr>
          <w:rFonts w:hint="eastAsia"/>
          <w:color w:val="000000"/>
          <w:szCs w:val="21"/>
          <w:lang w:val="en-US" w:eastAsia="zh-CN"/>
        </w:rPr>
        <w:t>江苏省扬州市宝应县氾水镇</w:t>
      </w:r>
      <w:r>
        <w:rPr>
          <w:rFonts w:hint="eastAsia"/>
          <w:szCs w:val="21"/>
          <w:lang w:eastAsia="zh-CN"/>
        </w:rPr>
        <w:t>辰胜集成科技股份有限公司</w:t>
      </w:r>
      <w:r>
        <w:rPr>
          <w:rFonts w:hint="eastAsia"/>
          <w:szCs w:val="21"/>
          <w:lang w:val="en-US" w:eastAsia="zh-CN"/>
        </w:rPr>
        <w:t xml:space="preserve"> 供应管理部 夷后华收</w:t>
      </w:r>
    </w:p>
    <w:p>
      <w:pPr>
        <w:spacing w:line="360" w:lineRule="auto"/>
        <w:ind w:firstLine="768" w:firstLineChars="366"/>
        <w:rPr>
          <w:color w:val="000000"/>
          <w:szCs w:val="21"/>
        </w:rPr>
      </w:pPr>
      <w:r>
        <w:rPr>
          <w:rFonts w:hint="eastAsia"/>
          <w:color w:val="000000"/>
          <w:szCs w:val="21"/>
        </w:rPr>
        <w:t>投标人代表签字地址</w:t>
      </w:r>
    </w:p>
    <w:p>
      <w:pPr>
        <w:spacing w:line="360" w:lineRule="auto"/>
        <w:ind w:firstLine="768" w:firstLineChars="366"/>
        <w:rPr>
          <w:color w:val="000000"/>
          <w:szCs w:val="21"/>
        </w:rPr>
      </w:pPr>
      <w:r>
        <w:rPr>
          <w:rFonts w:hint="eastAsia"/>
          <w:color w:val="000000"/>
          <w:szCs w:val="21"/>
        </w:rPr>
        <w:t>投标人名称电话及手机</w:t>
      </w:r>
    </w:p>
    <w:p>
      <w:pPr>
        <w:spacing w:line="360" w:lineRule="auto"/>
        <w:ind w:firstLine="768" w:firstLineChars="366"/>
        <w:rPr>
          <w:color w:val="000000"/>
          <w:szCs w:val="21"/>
        </w:rPr>
      </w:pPr>
      <w:r>
        <w:rPr>
          <w:rFonts w:hint="eastAsia"/>
          <w:color w:val="000000"/>
          <w:szCs w:val="21"/>
        </w:rPr>
        <w:t>公章传真</w:t>
      </w:r>
    </w:p>
    <w:p>
      <w:pPr>
        <w:spacing w:line="360" w:lineRule="auto"/>
        <w:ind w:firstLine="768" w:firstLineChars="366"/>
        <w:rPr>
          <w:color w:val="000000"/>
          <w:sz w:val="24"/>
          <w:u w:val="single"/>
        </w:rPr>
      </w:pPr>
      <w:r>
        <w:rPr>
          <w:rFonts w:hint="eastAsia"/>
          <w:color w:val="000000"/>
          <w:szCs w:val="21"/>
        </w:rPr>
        <w:t>日期电子邮件</w:t>
      </w:r>
    </w:p>
    <w:p>
      <w:pPr>
        <w:spacing w:line="480" w:lineRule="auto"/>
        <w:jc w:val="center"/>
        <w:rPr>
          <w:b/>
          <w:sz w:val="24"/>
        </w:rPr>
        <w:sectPr>
          <w:footerReference r:id="rId3" w:type="default"/>
          <w:pgSz w:w="11906" w:h="16838"/>
          <w:pgMar w:top="850" w:right="1274" w:bottom="896" w:left="1797" w:header="851" w:footer="992" w:gutter="0"/>
          <w:cols w:space="0" w:num="1"/>
          <w:rtlGutter w:val="0"/>
          <w:docGrid w:linePitch="312" w:charSpace="0"/>
        </w:sectPr>
      </w:pPr>
    </w:p>
    <w:p>
      <w:pPr>
        <w:spacing w:line="480" w:lineRule="auto"/>
        <w:jc w:val="center"/>
        <w:rPr>
          <w:b/>
          <w:sz w:val="24"/>
        </w:rPr>
      </w:pPr>
      <w:r>
        <w:rPr>
          <w:rFonts w:hint="eastAsia"/>
          <w:b/>
          <w:sz w:val="24"/>
        </w:rPr>
        <w:t>6.2报价一览表</w:t>
      </w:r>
    </w:p>
    <w:p>
      <w:pPr>
        <w:spacing w:line="480" w:lineRule="auto"/>
        <w:ind w:firstLine="630" w:firstLineChars="300"/>
        <w:rPr>
          <w:szCs w:val="21"/>
        </w:rPr>
      </w:pPr>
      <w:r>
        <w:rPr>
          <w:rFonts w:hint="eastAsia"/>
          <w:szCs w:val="21"/>
        </w:rPr>
        <w:t xml:space="preserve">投标人：                                                                                                </w:t>
      </w:r>
    </w:p>
    <w:tbl>
      <w:tblPr>
        <w:tblStyle w:val="33"/>
        <w:tblW w:w="13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415"/>
        <w:gridCol w:w="1272"/>
        <w:gridCol w:w="1773"/>
        <w:gridCol w:w="1089"/>
        <w:gridCol w:w="858"/>
        <w:gridCol w:w="1253"/>
        <w:gridCol w:w="1275"/>
        <w:gridCol w:w="1082"/>
        <w:gridCol w:w="2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77"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序号</w:t>
            </w:r>
          </w:p>
        </w:tc>
        <w:tc>
          <w:tcPr>
            <w:tcW w:w="1415"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名称</w:t>
            </w:r>
          </w:p>
        </w:tc>
        <w:tc>
          <w:tcPr>
            <w:tcW w:w="127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型号及规格</w:t>
            </w:r>
          </w:p>
        </w:tc>
        <w:tc>
          <w:tcPr>
            <w:tcW w:w="1773" w:type="dxa"/>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hint="eastAsia" w:eastAsia="宋体"/>
                <w:szCs w:val="21"/>
                <w:lang w:eastAsia="zh-CN"/>
              </w:rPr>
            </w:pPr>
            <w:r>
              <w:rPr>
                <w:rFonts w:hint="eastAsia"/>
                <w:szCs w:val="21"/>
                <w:lang w:eastAsia="zh-CN"/>
              </w:rPr>
              <w:t>材质</w:t>
            </w:r>
          </w:p>
        </w:tc>
        <w:tc>
          <w:tcPr>
            <w:tcW w:w="1089" w:type="dxa"/>
            <w:vAlign w:val="center"/>
          </w:tcPr>
          <w:p>
            <w:pPr>
              <w:tabs>
                <w:tab w:val="left" w:pos="654"/>
                <w:tab w:val="left" w:pos="1734"/>
                <w:tab w:val="left" w:pos="2814"/>
                <w:tab w:val="left" w:pos="3894"/>
                <w:tab w:val="left" w:pos="5334"/>
                <w:tab w:val="left" w:pos="6414"/>
                <w:tab w:val="left" w:pos="7254"/>
                <w:tab w:val="left" w:pos="8574"/>
                <w:tab w:val="left" w:pos="9654"/>
              </w:tabs>
              <w:spacing w:line="240" w:lineRule="exact"/>
              <w:jc w:val="center"/>
              <w:rPr>
                <w:szCs w:val="21"/>
              </w:rPr>
            </w:pPr>
            <w:r>
              <w:rPr>
                <w:rFonts w:hint="eastAsia"/>
                <w:szCs w:val="21"/>
              </w:rPr>
              <w:t>数量</w:t>
            </w:r>
          </w:p>
        </w:tc>
        <w:tc>
          <w:tcPr>
            <w:tcW w:w="858"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单价</w:t>
            </w:r>
          </w:p>
        </w:tc>
        <w:tc>
          <w:tcPr>
            <w:tcW w:w="125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rFonts w:hint="eastAsia" w:eastAsia="宋体"/>
                <w:szCs w:val="21"/>
                <w:lang w:eastAsia="zh-CN"/>
              </w:rPr>
            </w:pPr>
            <w:r>
              <w:rPr>
                <w:rFonts w:hint="eastAsia"/>
                <w:szCs w:val="21"/>
                <w:lang w:eastAsia="zh-CN"/>
              </w:rPr>
              <w:t>合计</w:t>
            </w:r>
          </w:p>
        </w:tc>
        <w:tc>
          <w:tcPr>
            <w:tcW w:w="1275"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交货期</w:t>
            </w:r>
          </w:p>
        </w:tc>
        <w:tc>
          <w:tcPr>
            <w:tcW w:w="108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质保期</w:t>
            </w:r>
          </w:p>
        </w:tc>
        <w:tc>
          <w:tcPr>
            <w:tcW w:w="237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77" w:type="dxa"/>
            <w:vAlign w:val="center"/>
          </w:tcPr>
          <w:p>
            <w:pPr>
              <w:ind w:right="-134"/>
              <w:jc w:val="center"/>
              <w:rPr>
                <w:rFonts w:ascii="宋体" w:hAnsi="宋体"/>
                <w:bCs/>
                <w:szCs w:val="21"/>
              </w:rPr>
            </w:pPr>
          </w:p>
        </w:tc>
        <w:tc>
          <w:tcPr>
            <w:tcW w:w="1415" w:type="dxa"/>
            <w:vAlign w:val="center"/>
          </w:tcPr>
          <w:p>
            <w:pPr>
              <w:ind w:right="-134"/>
              <w:jc w:val="center"/>
              <w:rPr>
                <w:rFonts w:ascii="宋体" w:hAnsi="宋体"/>
                <w:bCs/>
                <w:szCs w:val="21"/>
              </w:rPr>
            </w:pPr>
          </w:p>
        </w:tc>
        <w:tc>
          <w:tcPr>
            <w:tcW w:w="127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77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9"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858"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25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275"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2372"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777" w:type="dxa"/>
            <w:vAlign w:val="center"/>
          </w:tcPr>
          <w:p>
            <w:pPr>
              <w:jc w:val="center"/>
              <w:rPr>
                <w:rFonts w:ascii="宋体" w:hAnsi="宋体"/>
                <w:szCs w:val="21"/>
              </w:rPr>
            </w:pPr>
          </w:p>
        </w:tc>
        <w:tc>
          <w:tcPr>
            <w:tcW w:w="1415" w:type="dxa"/>
            <w:vAlign w:val="center"/>
          </w:tcPr>
          <w:p>
            <w:pPr>
              <w:jc w:val="center"/>
              <w:rPr>
                <w:rFonts w:ascii="宋体" w:hAnsi="宋体"/>
                <w:szCs w:val="21"/>
              </w:rPr>
            </w:pPr>
          </w:p>
        </w:tc>
        <w:tc>
          <w:tcPr>
            <w:tcW w:w="127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77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9"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858"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25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ind w:right="-235" w:rightChars="-112"/>
              <w:jc w:val="center"/>
              <w:rPr>
                <w:szCs w:val="21"/>
              </w:rPr>
            </w:pPr>
          </w:p>
        </w:tc>
        <w:tc>
          <w:tcPr>
            <w:tcW w:w="1275"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2372"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777" w:type="dxa"/>
            <w:vAlign w:val="center"/>
          </w:tcPr>
          <w:p>
            <w:pPr>
              <w:jc w:val="center"/>
              <w:rPr>
                <w:rFonts w:ascii="宋体" w:hAnsi="宋体"/>
                <w:szCs w:val="21"/>
              </w:rPr>
            </w:pPr>
          </w:p>
        </w:tc>
        <w:tc>
          <w:tcPr>
            <w:tcW w:w="1415" w:type="dxa"/>
            <w:vAlign w:val="center"/>
          </w:tcPr>
          <w:p>
            <w:pPr>
              <w:jc w:val="center"/>
              <w:rPr>
                <w:rFonts w:ascii="宋体" w:hAnsi="宋体"/>
                <w:szCs w:val="21"/>
              </w:rPr>
            </w:pPr>
          </w:p>
        </w:tc>
        <w:tc>
          <w:tcPr>
            <w:tcW w:w="127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77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9"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858"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25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ind w:right="-235" w:rightChars="-112"/>
              <w:jc w:val="center"/>
              <w:rPr>
                <w:szCs w:val="21"/>
              </w:rPr>
            </w:pPr>
          </w:p>
        </w:tc>
        <w:tc>
          <w:tcPr>
            <w:tcW w:w="1275"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2372"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777" w:type="dxa"/>
            <w:vAlign w:val="center"/>
          </w:tcPr>
          <w:p>
            <w:pPr>
              <w:jc w:val="center"/>
              <w:rPr>
                <w:rFonts w:ascii="宋体" w:hAnsi="宋体"/>
                <w:szCs w:val="21"/>
              </w:rPr>
            </w:pPr>
          </w:p>
        </w:tc>
        <w:tc>
          <w:tcPr>
            <w:tcW w:w="1415" w:type="dxa"/>
            <w:vAlign w:val="center"/>
          </w:tcPr>
          <w:p>
            <w:pPr>
              <w:jc w:val="center"/>
              <w:rPr>
                <w:rFonts w:ascii="宋体" w:hAnsi="宋体"/>
                <w:szCs w:val="21"/>
              </w:rPr>
            </w:pPr>
          </w:p>
        </w:tc>
        <w:tc>
          <w:tcPr>
            <w:tcW w:w="127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77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9"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858"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25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ind w:right="-235" w:rightChars="-112"/>
              <w:jc w:val="center"/>
              <w:rPr>
                <w:szCs w:val="21"/>
              </w:rPr>
            </w:pPr>
          </w:p>
        </w:tc>
        <w:tc>
          <w:tcPr>
            <w:tcW w:w="1275"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2372"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777" w:type="dxa"/>
            <w:vAlign w:val="center"/>
          </w:tcPr>
          <w:p>
            <w:pPr>
              <w:jc w:val="center"/>
              <w:rPr>
                <w:rFonts w:ascii="宋体" w:hAnsi="宋体"/>
                <w:szCs w:val="21"/>
              </w:rPr>
            </w:pPr>
          </w:p>
        </w:tc>
        <w:tc>
          <w:tcPr>
            <w:tcW w:w="1415" w:type="dxa"/>
            <w:vAlign w:val="center"/>
          </w:tcPr>
          <w:p>
            <w:pPr>
              <w:jc w:val="center"/>
              <w:rPr>
                <w:rFonts w:ascii="宋体" w:hAnsi="宋体"/>
                <w:szCs w:val="21"/>
              </w:rPr>
            </w:pPr>
          </w:p>
        </w:tc>
        <w:tc>
          <w:tcPr>
            <w:tcW w:w="127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77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9"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858"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25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ind w:right="-235" w:rightChars="-112"/>
              <w:jc w:val="center"/>
              <w:rPr>
                <w:szCs w:val="21"/>
              </w:rPr>
            </w:pPr>
          </w:p>
        </w:tc>
        <w:tc>
          <w:tcPr>
            <w:tcW w:w="1275"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2372"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777" w:type="dxa"/>
            <w:vAlign w:val="center"/>
          </w:tcPr>
          <w:p>
            <w:pPr>
              <w:jc w:val="center"/>
              <w:rPr>
                <w:rFonts w:ascii="宋体" w:hAnsi="宋体"/>
                <w:szCs w:val="21"/>
              </w:rPr>
            </w:pPr>
          </w:p>
        </w:tc>
        <w:tc>
          <w:tcPr>
            <w:tcW w:w="1415" w:type="dxa"/>
            <w:vAlign w:val="center"/>
          </w:tcPr>
          <w:p>
            <w:pPr>
              <w:jc w:val="center"/>
              <w:rPr>
                <w:rFonts w:ascii="宋体" w:hAnsi="宋体"/>
                <w:szCs w:val="21"/>
              </w:rPr>
            </w:pPr>
          </w:p>
        </w:tc>
        <w:tc>
          <w:tcPr>
            <w:tcW w:w="127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77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9"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858"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25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ind w:right="-235" w:rightChars="-112"/>
              <w:jc w:val="center"/>
              <w:rPr>
                <w:szCs w:val="21"/>
              </w:rPr>
            </w:pPr>
          </w:p>
        </w:tc>
        <w:tc>
          <w:tcPr>
            <w:tcW w:w="1275"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2372"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777" w:type="dxa"/>
            <w:vAlign w:val="center"/>
          </w:tcPr>
          <w:p>
            <w:pPr>
              <w:jc w:val="center"/>
              <w:rPr>
                <w:rFonts w:ascii="宋体" w:hAnsi="宋体"/>
                <w:szCs w:val="21"/>
              </w:rPr>
            </w:pPr>
          </w:p>
        </w:tc>
        <w:tc>
          <w:tcPr>
            <w:tcW w:w="1415" w:type="dxa"/>
            <w:vAlign w:val="center"/>
          </w:tcPr>
          <w:p>
            <w:pPr>
              <w:jc w:val="center"/>
              <w:rPr>
                <w:rFonts w:ascii="宋体" w:hAnsi="宋体"/>
                <w:szCs w:val="21"/>
              </w:rPr>
            </w:pPr>
          </w:p>
        </w:tc>
        <w:tc>
          <w:tcPr>
            <w:tcW w:w="127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77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9"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858"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25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ind w:right="-235" w:rightChars="-112"/>
              <w:jc w:val="center"/>
              <w:rPr>
                <w:szCs w:val="21"/>
              </w:rPr>
            </w:pPr>
          </w:p>
        </w:tc>
        <w:tc>
          <w:tcPr>
            <w:tcW w:w="1275"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2372"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exact"/>
          <w:jc w:val="center"/>
        </w:trPr>
        <w:tc>
          <w:tcPr>
            <w:tcW w:w="2192" w:type="dxa"/>
            <w:gridSpan w:val="2"/>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以上投标总价</w:t>
            </w:r>
          </w:p>
        </w:tc>
        <w:tc>
          <w:tcPr>
            <w:tcW w:w="10974" w:type="dxa"/>
            <w:gridSpan w:val="8"/>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大写：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2192" w:type="dxa"/>
            <w:gridSpan w:val="2"/>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付款方式</w:t>
            </w:r>
          </w:p>
        </w:tc>
        <w:tc>
          <w:tcPr>
            <w:tcW w:w="10974" w:type="dxa"/>
            <w:gridSpan w:val="8"/>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3" w:hRule="atLeast"/>
          <w:jc w:val="center"/>
        </w:trPr>
        <w:tc>
          <w:tcPr>
            <w:tcW w:w="2192" w:type="dxa"/>
            <w:gridSpan w:val="2"/>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企业</w:t>
            </w:r>
          </w:p>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信息</w:t>
            </w:r>
          </w:p>
        </w:tc>
        <w:tc>
          <w:tcPr>
            <w:tcW w:w="10974" w:type="dxa"/>
            <w:gridSpan w:val="8"/>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rPr>
                <w:szCs w:val="21"/>
              </w:rPr>
            </w:pPr>
            <w:r>
              <w:rPr>
                <w:rFonts w:hint="eastAsia"/>
                <w:szCs w:val="21"/>
              </w:rPr>
              <w:t>注册资金：        万元， 固定资产：       万元，流动资金：       万元，净资产：      万元，  上年营业额：        万元，</w:t>
            </w:r>
          </w:p>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rPr>
                <w:szCs w:val="21"/>
              </w:rPr>
            </w:pPr>
            <w:r>
              <w:rPr>
                <w:rFonts w:hint="eastAsia"/>
                <w:szCs w:val="21"/>
              </w:rPr>
              <w:t>企业资质等级：     ， 企业性质：      ，员工数：      人，其中工程技术人员：     人， 占地       亩， 近三年完成相同业绩：    条，</w:t>
            </w:r>
          </w:p>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rPr>
                <w:szCs w:val="21"/>
              </w:rPr>
            </w:pPr>
            <w:r>
              <w:rPr>
                <w:rFonts w:hint="eastAsia"/>
                <w:szCs w:val="21"/>
              </w:rPr>
              <w:t xml:space="preserve">生产商/代理商账号：            税号：            开户行：          授权代表：        手机：            </w:t>
            </w:r>
          </w:p>
        </w:tc>
      </w:tr>
    </w:tbl>
    <w:p>
      <w:pPr>
        <w:tabs>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rPr>
          <w:b/>
          <w:sz w:val="28"/>
          <w:szCs w:val="28"/>
        </w:rPr>
        <w:sectPr>
          <w:pgSz w:w="16838" w:h="11906" w:orient="landscape"/>
          <w:pgMar w:top="567" w:right="1440" w:bottom="709" w:left="1440" w:header="851" w:footer="992" w:gutter="0"/>
          <w:cols w:space="720" w:num="1"/>
          <w:docGrid w:linePitch="312" w:charSpace="0"/>
        </w:sectPr>
      </w:pPr>
      <w:r>
        <w:rPr>
          <w:rFonts w:hint="eastAsia"/>
          <w:szCs w:val="21"/>
        </w:rPr>
        <w:t>投标人代表</w:t>
      </w:r>
    </w:p>
    <w:p>
      <w:pPr>
        <w:pStyle w:val="83"/>
        <w:ind w:left="0" w:leftChars="0" w:firstLine="0" w:firstLineChars="0"/>
        <w:rPr>
          <w:color w:val="000000"/>
          <w:lang w:eastAsia="zh-CN"/>
        </w:rPr>
      </w:pPr>
    </w:p>
    <w:p>
      <w:pPr>
        <w:spacing w:line="0" w:lineRule="atLeast"/>
        <w:outlineLvl w:val="0"/>
        <w:rPr>
          <w:rFonts w:ascii="宋体" w:hAnsi="宋体"/>
          <w:b/>
          <w:color w:val="000000"/>
          <w:sz w:val="24"/>
        </w:rPr>
      </w:pPr>
    </w:p>
    <w:p>
      <w:pPr>
        <w:spacing w:line="480" w:lineRule="auto"/>
        <w:jc w:val="center"/>
        <w:rPr>
          <w:b/>
          <w:sz w:val="24"/>
        </w:rPr>
      </w:pPr>
      <w:r>
        <w:rPr>
          <w:rFonts w:hint="eastAsia"/>
          <w:b/>
          <w:sz w:val="24"/>
        </w:rPr>
        <w:t>6.</w:t>
      </w:r>
      <w:r>
        <w:rPr>
          <w:rFonts w:hint="eastAsia"/>
          <w:b/>
          <w:sz w:val="24"/>
          <w:lang w:val="en-US" w:eastAsia="zh-CN"/>
        </w:rPr>
        <w:t>3</w:t>
      </w:r>
      <w:r>
        <w:rPr>
          <w:rFonts w:hint="eastAsia"/>
          <w:b/>
          <w:sz w:val="24"/>
        </w:rPr>
        <w:t>技术规格偏离表</w:t>
      </w:r>
      <w:r>
        <w:rPr>
          <w:rFonts w:hint="eastAsia" w:ascii="黑体" w:eastAsia="黑体"/>
          <w:sz w:val="28"/>
          <w:szCs w:val="28"/>
        </w:rPr>
        <w:t>（每种类型分别填写）</w:t>
      </w:r>
    </w:p>
    <w:p>
      <w:pPr>
        <w:spacing w:before="100" w:beforeAutospacing="1" w:after="100" w:afterAutospacing="1" w:line="360" w:lineRule="auto"/>
        <w:rPr>
          <w:szCs w:val="21"/>
        </w:rPr>
      </w:pPr>
      <w:r>
        <w:rPr>
          <w:rFonts w:hint="eastAsia"/>
          <w:szCs w:val="21"/>
        </w:rPr>
        <w:t>投标人名称</w:t>
      </w:r>
    </w:p>
    <w:tbl>
      <w:tblPr>
        <w:tblStyle w:val="33"/>
        <w:tblW w:w="91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922"/>
        <w:gridCol w:w="1973"/>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Align w:val="center"/>
          </w:tcPr>
          <w:p>
            <w:pPr>
              <w:spacing w:before="100" w:beforeAutospacing="1" w:after="100" w:afterAutospacing="1" w:line="360" w:lineRule="auto"/>
              <w:jc w:val="center"/>
              <w:rPr>
                <w:szCs w:val="21"/>
              </w:rPr>
            </w:pPr>
            <w:r>
              <w:rPr>
                <w:rFonts w:hint="eastAsia"/>
                <w:szCs w:val="21"/>
              </w:rPr>
              <w:t>招标规格</w:t>
            </w:r>
          </w:p>
        </w:tc>
        <w:tc>
          <w:tcPr>
            <w:tcW w:w="2922" w:type="dxa"/>
            <w:vAlign w:val="center"/>
          </w:tcPr>
          <w:p>
            <w:pPr>
              <w:spacing w:before="100" w:beforeAutospacing="1" w:after="100" w:afterAutospacing="1" w:line="360" w:lineRule="auto"/>
              <w:jc w:val="center"/>
              <w:rPr>
                <w:szCs w:val="21"/>
              </w:rPr>
            </w:pPr>
            <w:r>
              <w:rPr>
                <w:rFonts w:hint="eastAsia"/>
                <w:szCs w:val="21"/>
              </w:rPr>
              <w:t>投标规格</w:t>
            </w:r>
          </w:p>
        </w:tc>
        <w:tc>
          <w:tcPr>
            <w:tcW w:w="1973" w:type="dxa"/>
            <w:vAlign w:val="center"/>
          </w:tcPr>
          <w:p>
            <w:pPr>
              <w:spacing w:before="100" w:beforeAutospacing="1" w:after="100" w:afterAutospacing="1" w:line="360" w:lineRule="auto"/>
              <w:jc w:val="center"/>
              <w:rPr>
                <w:szCs w:val="21"/>
              </w:rPr>
            </w:pPr>
            <w:r>
              <w:rPr>
                <w:rFonts w:hint="eastAsia"/>
                <w:szCs w:val="21"/>
              </w:rPr>
              <w:t>偏离</w:t>
            </w:r>
          </w:p>
        </w:tc>
        <w:tc>
          <w:tcPr>
            <w:tcW w:w="1946" w:type="dxa"/>
            <w:vAlign w:val="center"/>
          </w:tcPr>
          <w:p>
            <w:pPr>
              <w:spacing w:before="100" w:beforeAutospacing="1" w:after="100" w:afterAutospacing="1" w:line="360" w:lineRule="auto"/>
              <w:jc w:val="center"/>
              <w:rPr>
                <w:szCs w:val="21"/>
              </w:rPr>
            </w:pPr>
            <w:r>
              <w:rPr>
                <w:rFonts w:hint="eastAsia"/>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00" w:beforeAutospacing="1" w:after="100" w:afterAutospacing="1" w:line="360" w:lineRule="auto"/>
              <w:rPr>
                <w:szCs w:val="21"/>
              </w:rPr>
            </w:pPr>
          </w:p>
        </w:tc>
        <w:tc>
          <w:tcPr>
            <w:tcW w:w="2922" w:type="dxa"/>
          </w:tcPr>
          <w:p>
            <w:pPr>
              <w:spacing w:before="100" w:beforeAutospacing="1" w:after="100" w:afterAutospacing="1" w:line="360" w:lineRule="auto"/>
              <w:rPr>
                <w:szCs w:val="21"/>
              </w:rPr>
            </w:pPr>
          </w:p>
        </w:tc>
        <w:tc>
          <w:tcPr>
            <w:tcW w:w="1973" w:type="dxa"/>
          </w:tcPr>
          <w:p>
            <w:pPr>
              <w:spacing w:before="100" w:beforeAutospacing="1" w:after="100" w:afterAutospacing="1" w:line="360" w:lineRule="auto"/>
              <w:rPr>
                <w:szCs w:val="21"/>
              </w:rPr>
            </w:pPr>
          </w:p>
        </w:tc>
        <w:tc>
          <w:tcPr>
            <w:tcW w:w="1946" w:type="dxa"/>
          </w:tcPr>
          <w:p>
            <w:pPr>
              <w:spacing w:before="100" w:beforeAutospacing="1" w:after="100" w:afterAutospacing="1"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00" w:beforeAutospacing="1" w:after="100" w:afterAutospacing="1" w:line="360" w:lineRule="auto"/>
              <w:rPr>
                <w:szCs w:val="21"/>
              </w:rPr>
            </w:pPr>
          </w:p>
        </w:tc>
        <w:tc>
          <w:tcPr>
            <w:tcW w:w="2922" w:type="dxa"/>
          </w:tcPr>
          <w:p>
            <w:pPr>
              <w:spacing w:before="100" w:beforeAutospacing="1" w:after="100" w:afterAutospacing="1" w:line="360" w:lineRule="auto"/>
              <w:rPr>
                <w:szCs w:val="21"/>
              </w:rPr>
            </w:pPr>
          </w:p>
        </w:tc>
        <w:tc>
          <w:tcPr>
            <w:tcW w:w="1973" w:type="dxa"/>
          </w:tcPr>
          <w:p>
            <w:pPr>
              <w:spacing w:before="100" w:beforeAutospacing="1" w:after="100" w:afterAutospacing="1" w:line="360" w:lineRule="auto"/>
              <w:rPr>
                <w:szCs w:val="21"/>
              </w:rPr>
            </w:pPr>
          </w:p>
        </w:tc>
        <w:tc>
          <w:tcPr>
            <w:tcW w:w="1946" w:type="dxa"/>
          </w:tcPr>
          <w:p>
            <w:pPr>
              <w:spacing w:before="100" w:beforeAutospacing="1" w:after="100" w:afterAutospacing="1"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00" w:beforeAutospacing="1" w:after="100" w:afterAutospacing="1" w:line="360" w:lineRule="auto"/>
              <w:rPr>
                <w:szCs w:val="21"/>
              </w:rPr>
            </w:pPr>
          </w:p>
        </w:tc>
        <w:tc>
          <w:tcPr>
            <w:tcW w:w="2922" w:type="dxa"/>
          </w:tcPr>
          <w:p>
            <w:pPr>
              <w:spacing w:before="100" w:beforeAutospacing="1" w:after="100" w:afterAutospacing="1" w:line="360" w:lineRule="auto"/>
              <w:rPr>
                <w:szCs w:val="21"/>
              </w:rPr>
            </w:pPr>
          </w:p>
        </w:tc>
        <w:tc>
          <w:tcPr>
            <w:tcW w:w="1973" w:type="dxa"/>
          </w:tcPr>
          <w:p>
            <w:pPr>
              <w:spacing w:before="100" w:beforeAutospacing="1" w:after="100" w:afterAutospacing="1" w:line="360" w:lineRule="auto"/>
              <w:rPr>
                <w:szCs w:val="21"/>
              </w:rPr>
            </w:pPr>
          </w:p>
        </w:tc>
        <w:tc>
          <w:tcPr>
            <w:tcW w:w="1946" w:type="dxa"/>
          </w:tcPr>
          <w:p>
            <w:pPr>
              <w:spacing w:before="100" w:beforeAutospacing="1" w:after="100" w:afterAutospacing="1"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00" w:beforeAutospacing="1" w:after="100" w:afterAutospacing="1" w:line="360" w:lineRule="auto"/>
              <w:rPr>
                <w:szCs w:val="21"/>
              </w:rPr>
            </w:pPr>
          </w:p>
        </w:tc>
        <w:tc>
          <w:tcPr>
            <w:tcW w:w="2922" w:type="dxa"/>
          </w:tcPr>
          <w:p>
            <w:pPr>
              <w:spacing w:before="100" w:beforeAutospacing="1" w:after="100" w:afterAutospacing="1" w:line="360" w:lineRule="auto"/>
              <w:rPr>
                <w:szCs w:val="21"/>
              </w:rPr>
            </w:pPr>
          </w:p>
        </w:tc>
        <w:tc>
          <w:tcPr>
            <w:tcW w:w="1973" w:type="dxa"/>
          </w:tcPr>
          <w:p>
            <w:pPr>
              <w:spacing w:before="100" w:beforeAutospacing="1" w:after="100" w:afterAutospacing="1" w:line="360" w:lineRule="auto"/>
              <w:rPr>
                <w:szCs w:val="21"/>
              </w:rPr>
            </w:pPr>
          </w:p>
        </w:tc>
        <w:tc>
          <w:tcPr>
            <w:tcW w:w="1946" w:type="dxa"/>
          </w:tcPr>
          <w:p>
            <w:pPr>
              <w:spacing w:before="100" w:beforeAutospacing="1" w:after="100" w:afterAutospacing="1"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00" w:beforeAutospacing="1" w:after="100" w:afterAutospacing="1" w:line="360" w:lineRule="auto"/>
              <w:rPr>
                <w:szCs w:val="21"/>
              </w:rPr>
            </w:pPr>
          </w:p>
        </w:tc>
        <w:tc>
          <w:tcPr>
            <w:tcW w:w="2922" w:type="dxa"/>
          </w:tcPr>
          <w:p>
            <w:pPr>
              <w:spacing w:before="100" w:beforeAutospacing="1" w:after="100" w:afterAutospacing="1" w:line="360" w:lineRule="auto"/>
              <w:rPr>
                <w:szCs w:val="21"/>
              </w:rPr>
            </w:pPr>
          </w:p>
        </w:tc>
        <w:tc>
          <w:tcPr>
            <w:tcW w:w="1973" w:type="dxa"/>
          </w:tcPr>
          <w:p>
            <w:pPr>
              <w:spacing w:before="100" w:beforeAutospacing="1" w:after="100" w:afterAutospacing="1" w:line="360" w:lineRule="auto"/>
              <w:rPr>
                <w:szCs w:val="21"/>
              </w:rPr>
            </w:pPr>
          </w:p>
        </w:tc>
        <w:tc>
          <w:tcPr>
            <w:tcW w:w="1946" w:type="dxa"/>
          </w:tcPr>
          <w:p>
            <w:pPr>
              <w:spacing w:before="100" w:beforeAutospacing="1" w:after="100" w:afterAutospacing="1"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00" w:beforeAutospacing="1" w:after="100" w:afterAutospacing="1" w:line="360" w:lineRule="auto"/>
              <w:rPr>
                <w:szCs w:val="21"/>
              </w:rPr>
            </w:pPr>
          </w:p>
        </w:tc>
        <w:tc>
          <w:tcPr>
            <w:tcW w:w="2922" w:type="dxa"/>
          </w:tcPr>
          <w:p>
            <w:pPr>
              <w:spacing w:before="100" w:beforeAutospacing="1" w:after="100" w:afterAutospacing="1" w:line="360" w:lineRule="auto"/>
              <w:rPr>
                <w:szCs w:val="21"/>
              </w:rPr>
            </w:pPr>
          </w:p>
        </w:tc>
        <w:tc>
          <w:tcPr>
            <w:tcW w:w="1973" w:type="dxa"/>
          </w:tcPr>
          <w:p>
            <w:pPr>
              <w:spacing w:before="100" w:beforeAutospacing="1" w:after="100" w:afterAutospacing="1" w:line="360" w:lineRule="auto"/>
              <w:rPr>
                <w:szCs w:val="21"/>
              </w:rPr>
            </w:pPr>
          </w:p>
        </w:tc>
        <w:tc>
          <w:tcPr>
            <w:tcW w:w="1946" w:type="dxa"/>
          </w:tcPr>
          <w:p>
            <w:pPr>
              <w:spacing w:before="100" w:beforeAutospacing="1" w:after="100" w:afterAutospacing="1"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00" w:beforeAutospacing="1" w:after="100" w:afterAutospacing="1" w:line="360" w:lineRule="auto"/>
              <w:rPr>
                <w:szCs w:val="21"/>
              </w:rPr>
            </w:pPr>
          </w:p>
        </w:tc>
        <w:tc>
          <w:tcPr>
            <w:tcW w:w="2922" w:type="dxa"/>
          </w:tcPr>
          <w:p>
            <w:pPr>
              <w:spacing w:before="100" w:beforeAutospacing="1" w:after="100" w:afterAutospacing="1" w:line="360" w:lineRule="auto"/>
              <w:rPr>
                <w:szCs w:val="21"/>
              </w:rPr>
            </w:pPr>
          </w:p>
        </w:tc>
        <w:tc>
          <w:tcPr>
            <w:tcW w:w="1973" w:type="dxa"/>
          </w:tcPr>
          <w:p>
            <w:pPr>
              <w:spacing w:before="100" w:beforeAutospacing="1" w:after="100" w:afterAutospacing="1" w:line="360" w:lineRule="auto"/>
              <w:rPr>
                <w:szCs w:val="21"/>
              </w:rPr>
            </w:pPr>
          </w:p>
        </w:tc>
        <w:tc>
          <w:tcPr>
            <w:tcW w:w="1946" w:type="dxa"/>
          </w:tcPr>
          <w:p>
            <w:pPr>
              <w:spacing w:before="100" w:beforeAutospacing="1" w:after="100" w:afterAutospacing="1"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00" w:beforeAutospacing="1" w:after="100" w:afterAutospacing="1" w:line="360" w:lineRule="auto"/>
              <w:rPr>
                <w:szCs w:val="21"/>
              </w:rPr>
            </w:pPr>
          </w:p>
        </w:tc>
        <w:tc>
          <w:tcPr>
            <w:tcW w:w="2922" w:type="dxa"/>
          </w:tcPr>
          <w:p>
            <w:pPr>
              <w:spacing w:before="100" w:beforeAutospacing="1" w:after="100" w:afterAutospacing="1" w:line="360" w:lineRule="auto"/>
              <w:rPr>
                <w:szCs w:val="21"/>
              </w:rPr>
            </w:pPr>
          </w:p>
        </w:tc>
        <w:tc>
          <w:tcPr>
            <w:tcW w:w="1973" w:type="dxa"/>
          </w:tcPr>
          <w:p>
            <w:pPr>
              <w:spacing w:before="100" w:beforeAutospacing="1" w:after="100" w:afterAutospacing="1" w:line="360" w:lineRule="auto"/>
              <w:rPr>
                <w:szCs w:val="21"/>
              </w:rPr>
            </w:pPr>
          </w:p>
        </w:tc>
        <w:tc>
          <w:tcPr>
            <w:tcW w:w="1946" w:type="dxa"/>
          </w:tcPr>
          <w:p>
            <w:pPr>
              <w:spacing w:before="100" w:beforeAutospacing="1" w:after="100" w:afterAutospacing="1"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00" w:beforeAutospacing="1" w:after="100" w:afterAutospacing="1" w:line="360" w:lineRule="auto"/>
              <w:rPr>
                <w:szCs w:val="21"/>
              </w:rPr>
            </w:pPr>
          </w:p>
        </w:tc>
        <w:tc>
          <w:tcPr>
            <w:tcW w:w="2922" w:type="dxa"/>
          </w:tcPr>
          <w:p>
            <w:pPr>
              <w:spacing w:before="100" w:beforeAutospacing="1" w:after="100" w:afterAutospacing="1" w:line="360" w:lineRule="auto"/>
              <w:rPr>
                <w:szCs w:val="21"/>
              </w:rPr>
            </w:pPr>
          </w:p>
        </w:tc>
        <w:tc>
          <w:tcPr>
            <w:tcW w:w="1973" w:type="dxa"/>
          </w:tcPr>
          <w:p>
            <w:pPr>
              <w:spacing w:before="100" w:beforeAutospacing="1" w:after="100" w:afterAutospacing="1" w:line="360" w:lineRule="auto"/>
              <w:rPr>
                <w:szCs w:val="21"/>
              </w:rPr>
            </w:pPr>
          </w:p>
        </w:tc>
        <w:tc>
          <w:tcPr>
            <w:tcW w:w="1946" w:type="dxa"/>
          </w:tcPr>
          <w:p>
            <w:pPr>
              <w:spacing w:before="100" w:beforeAutospacing="1" w:after="100" w:afterAutospacing="1"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00" w:beforeAutospacing="1" w:after="100" w:afterAutospacing="1" w:line="360" w:lineRule="auto"/>
              <w:rPr>
                <w:szCs w:val="21"/>
              </w:rPr>
            </w:pPr>
          </w:p>
        </w:tc>
        <w:tc>
          <w:tcPr>
            <w:tcW w:w="2922" w:type="dxa"/>
          </w:tcPr>
          <w:p>
            <w:pPr>
              <w:spacing w:before="100" w:beforeAutospacing="1" w:after="100" w:afterAutospacing="1" w:line="360" w:lineRule="auto"/>
              <w:rPr>
                <w:szCs w:val="21"/>
              </w:rPr>
            </w:pPr>
          </w:p>
        </w:tc>
        <w:tc>
          <w:tcPr>
            <w:tcW w:w="1973" w:type="dxa"/>
          </w:tcPr>
          <w:p>
            <w:pPr>
              <w:spacing w:before="100" w:beforeAutospacing="1" w:after="100" w:afterAutospacing="1" w:line="360" w:lineRule="auto"/>
              <w:rPr>
                <w:szCs w:val="21"/>
              </w:rPr>
            </w:pPr>
          </w:p>
        </w:tc>
        <w:tc>
          <w:tcPr>
            <w:tcW w:w="1946" w:type="dxa"/>
          </w:tcPr>
          <w:p>
            <w:pPr>
              <w:spacing w:before="100" w:beforeAutospacing="1" w:after="100" w:afterAutospacing="1" w:line="360" w:lineRule="auto"/>
              <w:rPr>
                <w:szCs w:val="21"/>
              </w:rPr>
            </w:pPr>
          </w:p>
        </w:tc>
      </w:tr>
    </w:tbl>
    <w:p>
      <w:pPr>
        <w:spacing w:before="100" w:beforeAutospacing="1" w:after="100" w:afterAutospacing="1" w:line="360" w:lineRule="auto"/>
        <w:rPr>
          <w:szCs w:val="21"/>
        </w:rPr>
      </w:pPr>
      <w:r>
        <w:rPr>
          <w:rFonts w:hint="eastAsia"/>
          <w:szCs w:val="21"/>
        </w:rPr>
        <w:t>注明：对照本项目的招标技术规范，若有技术偏离请写明；若不写明，但投标文件中的确存在技术偏离的，招标方也视同投标方技术无偏离。</w:t>
      </w:r>
    </w:p>
    <w:p>
      <w:pPr>
        <w:spacing w:before="100" w:beforeAutospacing="1" w:after="100" w:afterAutospacing="1" w:line="360" w:lineRule="auto"/>
        <w:rPr>
          <w:szCs w:val="21"/>
        </w:rPr>
      </w:pPr>
    </w:p>
    <w:p>
      <w:pPr>
        <w:spacing w:before="100" w:beforeAutospacing="1" w:after="100" w:afterAutospacing="1" w:line="360" w:lineRule="auto"/>
        <w:rPr>
          <w:szCs w:val="21"/>
        </w:rPr>
      </w:pPr>
      <w:r>
        <w:rPr>
          <w:rFonts w:hint="eastAsia"/>
          <w:szCs w:val="21"/>
        </w:rPr>
        <w:t>投标人代表签字</w:t>
      </w:r>
    </w:p>
    <w:p>
      <w:pPr>
        <w:spacing w:line="480" w:lineRule="auto"/>
        <w:rPr>
          <w:sz w:val="24"/>
        </w:rPr>
        <w:sectPr>
          <w:headerReference r:id="rId5" w:type="first"/>
          <w:footerReference r:id="rId8" w:type="first"/>
          <w:headerReference r:id="rId4" w:type="default"/>
          <w:footerReference r:id="rId6" w:type="default"/>
          <w:footerReference r:id="rId7" w:type="even"/>
          <w:pgSz w:w="11907" w:h="16840"/>
          <w:pgMar w:top="1418" w:right="1134" w:bottom="1134" w:left="1134" w:header="907" w:footer="907" w:gutter="0"/>
          <w:cols w:space="720" w:num="1"/>
          <w:titlePg/>
          <w:docGrid w:linePitch="462" w:charSpace="0"/>
        </w:sectPr>
      </w:pPr>
    </w:p>
    <w:p>
      <w:pPr>
        <w:spacing w:line="480" w:lineRule="auto"/>
        <w:jc w:val="center"/>
        <w:rPr>
          <w:b/>
          <w:sz w:val="24"/>
        </w:rPr>
      </w:pPr>
      <w:r>
        <w:rPr>
          <w:rFonts w:hint="eastAsia"/>
          <w:b/>
          <w:sz w:val="24"/>
        </w:rPr>
        <w:t>6.</w:t>
      </w:r>
      <w:r>
        <w:rPr>
          <w:rFonts w:hint="eastAsia"/>
          <w:b/>
          <w:sz w:val="24"/>
          <w:lang w:val="en-US" w:eastAsia="zh-CN"/>
        </w:rPr>
        <w:t>4</w:t>
      </w:r>
      <w:r>
        <w:rPr>
          <w:rFonts w:hint="eastAsia"/>
          <w:b/>
          <w:sz w:val="24"/>
        </w:rPr>
        <w:t xml:space="preserve">商务条款偏离表  </w:t>
      </w:r>
    </w:p>
    <w:p>
      <w:pPr>
        <w:spacing w:line="480" w:lineRule="auto"/>
        <w:rPr>
          <w:szCs w:val="21"/>
          <w:u w:val="single"/>
        </w:rPr>
      </w:pPr>
      <w:r>
        <w:rPr>
          <w:rFonts w:hint="eastAsia"/>
          <w:szCs w:val="21"/>
        </w:rPr>
        <w:t>投标人名称</w:t>
      </w:r>
    </w:p>
    <w:tbl>
      <w:tblPr>
        <w:tblStyle w:val="33"/>
        <w:tblW w:w="88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3600"/>
        <w:gridCol w:w="2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before="240" w:beforeLines="100" w:after="120" w:afterLines="50" w:line="480" w:lineRule="auto"/>
              <w:jc w:val="center"/>
              <w:rPr>
                <w:szCs w:val="21"/>
              </w:rPr>
            </w:pPr>
            <w:r>
              <w:rPr>
                <w:rFonts w:hint="eastAsia"/>
                <w:szCs w:val="21"/>
              </w:rPr>
              <w:t>招标文件商务条款</w:t>
            </w:r>
          </w:p>
        </w:tc>
        <w:tc>
          <w:tcPr>
            <w:tcW w:w="3600" w:type="dxa"/>
          </w:tcPr>
          <w:p>
            <w:pPr>
              <w:spacing w:before="240" w:beforeLines="100" w:after="120" w:afterLines="50" w:line="480" w:lineRule="auto"/>
              <w:jc w:val="center"/>
              <w:rPr>
                <w:szCs w:val="21"/>
              </w:rPr>
            </w:pPr>
            <w:r>
              <w:rPr>
                <w:rFonts w:hint="eastAsia"/>
                <w:szCs w:val="21"/>
              </w:rPr>
              <w:t>投标文件商务条款</w:t>
            </w:r>
          </w:p>
        </w:tc>
        <w:tc>
          <w:tcPr>
            <w:tcW w:w="2283" w:type="dxa"/>
          </w:tcPr>
          <w:p>
            <w:pPr>
              <w:spacing w:before="240" w:beforeLines="100" w:after="120" w:afterLines="50" w:line="480" w:lineRule="auto"/>
              <w:jc w:val="center"/>
              <w:rPr>
                <w:szCs w:val="21"/>
              </w:rPr>
            </w:pPr>
            <w:r>
              <w:rPr>
                <w:rFonts w:hint="eastAsia"/>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before="240" w:beforeLines="100" w:after="120" w:afterLines="50" w:line="480" w:lineRule="auto"/>
              <w:rPr>
                <w:szCs w:val="21"/>
              </w:rPr>
            </w:pPr>
          </w:p>
        </w:tc>
        <w:tc>
          <w:tcPr>
            <w:tcW w:w="3600" w:type="dxa"/>
          </w:tcPr>
          <w:p>
            <w:pPr>
              <w:spacing w:before="240" w:beforeLines="100" w:after="120" w:afterLines="50" w:line="480" w:lineRule="auto"/>
              <w:rPr>
                <w:szCs w:val="21"/>
              </w:rPr>
            </w:pPr>
          </w:p>
        </w:tc>
        <w:tc>
          <w:tcPr>
            <w:tcW w:w="2283" w:type="dxa"/>
          </w:tcPr>
          <w:p>
            <w:pPr>
              <w:spacing w:before="240" w:beforeLines="100" w:after="120" w:afterLines="50"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before="240" w:beforeLines="100" w:after="120" w:afterLines="50" w:line="480" w:lineRule="auto"/>
              <w:rPr>
                <w:szCs w:val="21"/>
              </w:rPr>
            </w:pPr>
          </w:p>
        </w:tc>
        <w:tc>
          <w:tcPr>
            <w:tcW w:w="3600" w:type="dxa"/>
          </w:tcPr>
          <w:p>
            <w:pPr>
              <w:spacing w:before="240" w:beforeLines="100" w:after="120" w:afterLines="50" w:line="480" w:lineRule="auto"/>
              <w:rPr>
                <w:szCs w:val="21"/>
              </w:rPr>
            </w:pPr>
          </w:p>
        </w:tc>
        <w:tc>
          <w:tcPr>
            <w:tcW w:w="2283" w:type="dxa"/>
          </w:tcPr>
          <w:p>
            <w:pPr>
              <w:spacing w:before="240" w:beforeLines="100" w:after="120" w:afterLines="50"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before="240" w:beforeLines="100" w:after="120" w:afterLines="50" w:line="480" w:lineRule="auto"/>
              <w:rPr>
                <w:szCs w:val="21"/>
              </w:rPr>
            </w:pPr>
          </w:p>
        </w:tc>
        <w:tc>
          <w:tcPr>
            <w:tcW w:w="3600" w:type="dxa"/>
          </w:tcPr>
          <w:p>
            <w:pPr>
              <w:spacing w:before="240" w:beforeLines="100" w:after="120" w:afterLines="50" w:line="480" w:lineRule="auto"/>
              <w:rPr>
                <w:szCs w:val="21"/>
              </w:rPr>
            </w:pPr>
          </w:p>
        </w:tc>
        <w:tc>
          <w:tcPr>
            <w:tcW w:w="2283" w:type="dxa"/>
          </w:tcPr>
          <w:p>
            <w:pPr>
              <w:spacing w:before="240" w:beforeLines="100" w:after="120" w:afterLines="50"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before="240" w:beforeLines="100" w:after="120" w:afterLines="50" w:line="480" w:lineRule="auto"/>
              <w:rPr>
                <w:szCs w:val="21"/>
              </w:rPr>
            </w:pPr>
          </w:p>
        </w:tc>
        <w:tc>
          <w:tcPr>
            <w:tcW w:w="3600" w:type="dxa"/>
          </w:tcPr>
          <w:p>
            <w:pPr>
              <w:spacing w:before="240" w:beforeLines="100" w:after="120" w:afterLines="50" w:line="480" w:lineRule="auto"/>
              <w:rPr>
                <w:szCs w:val="21"/>
              </w:rPr>
            </w:pPr>
          </w:p>
        </w:tc>
        <w:tc>
          <w:tcPr>
            <w:tcW w:w="2283" w:type="dxa"/>
          </w:tcPr>
          <w:p>
            <w:pPr>
              <w:spacing w:before="240" w:beforeLines="100" w:after="120" w:afterLines="50"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before="240" w:beforeLines="100" w:after="120" w:afterLines="50" w:line="480" w:lineRule="auto"/>
              <w:rPr>
                <w:szCs w:val="21"/>
              </w:rPr>
            </w:pPr>
          </w:p>
        </w:tc>
        <w:tc>
          <w:tcPr>
            <w:tcW w:w="3600" w:type="dxa"/>
          </w:tcPr>
          <w:p>
            <w:pPr>
              <w:spacing w:before="240" w:beforeLines="100" w:after="120" w:afterLines="50" w:line="480" w:lineRule="auto"/>
              <w:rPr>
                <w:szCs w:val="21"/>
              </w:rPr>
            </w:pPr>
          </w:p>
        </w:tc>
        <w:tc>
          <w:tcPr>
            <w:tcW w:w="2283" w:type="dxa"/>
          </w:tcPr>
          <w:p>
            <w:pPr>
              <w:spacing w:before="240" w:beforeLines="100" w:after="120" w:afterLines="50"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before="240" w:beforeLines="100" w:after="120" w:afterLines="50" w:line="480" w:lineRule="auto"/>
              <w:rPr>
                <w:szCs w:val="21"/>
              </w:rPr>
            </w:pPr>
          </w:p>
        </w:tc>
        <w:tc>
          <w:tcPr>
            <w:tcW w:w="3600" w:type="dxa"/>
          </w:tcPr>
          <w:p>
            <w:pPr>
              <w:spacing w:before="240" w:beforeLines="100" w:after="120" w:afterLines="50" w:line="480" w:lineRule="auto"/>
              <w:rPr>
                <w:szCs w:val="21"/>
              </w:rPr>
            </w:pPr>
          </w:p>
        </w:tc>
        <w:tc>
          <w:tcPr>
            <w:tcW w:w="2283" w:type="dxa"/>
          </w:tcPr>
          <w:p>
            <w:pPr>
              <w:spacing w:before="240" w:beforeLines="100" w:after="120" w:afterLines="50"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before="240" w:beforeLines="100" w:after="120" w:afterLines="50" w:line="480" w:lineRule="auto"/>
              <w:rPr>
                <w:szCs w:val="21"/>
              </w:rPr>
            </w:pPr>
          </w:p>
        </w:tc>
        <w:tc>
          <w:tcPr>
            <w:tcW w:w="3600" w:type="dxa"/>
          </w:tcPr>
          <w:p>
            <w:pPr>
              <w:spacing w:before="240" w:beforeLines="100" w:after="120" w:afterLines="50" w:line="480" w:lineRule="auto"/>
              <w:rPr>
                <w:szCs w:val="21"/>
              </w:rPr>
            </w:pPr>
          </w:p>
        </w:tc>
        <w:tc>
          <w:tcPr>
            <w:tcW w:w="2283" w:type="dxa"/>
          </w:tcPr>
          <w:p>
            <w:pPr>
              <w:spacing w:before="240" w:beforeLines="100" w:after="120" w:afterLines="50"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before="240" w:beforeLines="100" w:after="120" w:afterLines="50" w:line="480" w:lineRule="auto"/>
              <w:rPr>
                <w:szCs w:val="21"/>
              </w:rPr>
            </w:pPr>
          </w:p>
        </w:tc>
        <w:tc>
          <w:tcPr>
            <w:tcW w:w="3600" w:type="dxa"/>
          </w:tcPr>
          <w:p>
            <w:pPr>
              <w:spacing w:before="240" w:beforeLines="100" w:after="120" w:afterLines="50" w:line="480" w:lineRule="auto"/>
              <w:rPr>
                <w:szCs w:val="21"/>
              </w:rPr>
            </w:pPr>
          </w:p>
        </w:tc>
        <w:tc>
          <w:tcPr>
            <w:tcW w:w="2283" w:type="dxa"/>
          </w:tcPr>
          <w:p>
            <w:pPr>
              <w:spacing w:before="240" w:beforeLines="100" w:after="120" w:afterLines="50"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before="240" w:beforeLines="100" w:after="120" w:afterLines="50" w:line="480" w:lineRule="auto"/>
              <w:rPr>
                <w:szCs w:val="21"/>
              </w:rPr>
            </w:pPr>
          </w:p>
        </w:tc>
        <w:tc>
          <w:tcPr>
            <w:tcW w:w="3600" w:type="dxa"/>
          </w:tcPr>
          <w:p>
            <w:pPr>
              <w:spacing w:before="240" w:beforeLines="100" w:after="120" w:afterLines="50" w:line="480" w:lineRule="auto"/>
              <w:rPr>
                <w:szCs w:val="21"/>
              </w:rPr>
            </w:pPr>
          </w:p>
        </w:tc>
        <w:tc>
          <w:tcPr>
            <w:tcW w:w="2283" w:type="dxa"/>
          </w:tcPr>
          <w:p>
            <w:pPr>
              <w:spacing w:before="240" w:beforeLines="100" w:after="120" w:afterLines="50"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before="240" w:beforeLines="100" w:after="120" w:afterLines="50" w:line="480" w:lineRule="auto"/>
              <w:rPr>
                <w:szCs w:val="21"/>
              </w:rPr>
            </w:pPr>
          </w:p>
        </w:tc>
        <w:tc>
          <w:tcPr>
            <w:tcW w:w="3600" w:type="dxa"/>
          </w:tcPr>
          <w:p>
            <w:pPr>
              <w:spacing w:before="240" w:beforeLines="100" w:after="120" w:afterLines="50" w:line="480" w:lineRule="auto"/>
              <w:rPr>
                <w:szCs w:val="21"/>
              </w:rPr>
            </w:pPr>
          </w:p>
        </w:tc>
        <w:tc>
          <w:tcPr>
            <w:tcW w:w="2283" w:type="dxa"/>
          </w:tcPr>
          <w:p>
            <w:pPr>
              <w:spacing w:before="240" w:beforeLines="100" w:after="120" w:afterLines="50" w:line="480" w:lineRule="auto"/>
              <w:rPr>
                <w:szCs w:val="21"/>
              </w:rPr>
            </w:pPr>
          </w:p>
        </w:tc>
      </w:tr>
    </w:tbl>
    <w:p>
      <w:pPr>
        <w:spacing w:line="480" w:lineRule="auto"/>
        <w:rPr>
          <w:szCs w:val="21"/>
        </w:rPr>
      </w:pPr>
    </w:p>
    <w:p>
      <w:pPr>
        <w:spacing w:before="100" w:beforeAutospacing="1" w:after="100" w:afterAutospacing="1" w:line="360" w:lineRule="auto"/>
        <w:rPr>
          <w:szCs w:val="21"/>
        </w:rPr>
      </w:pPr>
      <w:r>
        <w:rPr>
          <w:rFonts w:hint="eastAsia"/>
          <w:szCs w:val="21"/>
        </w:rPr>
        <w:t>注明：对照本项目的招标商务要求，若有商务要求偏离请写明；若不写明，但投标文件中的确存在商务要求偏离的，招标方也视同投标方商务要求无偏离。</w:t>
      </w:r>
    </w:p>
    <w:p>
      <w:pPr>
        <w:spacing w:line="480" w:lineRule="auto"/>
        <w:rPr>
          <w:szCs w:val="21"/>
        </w:rPr>
      </w:pPr>
    </w:p>
    <w:p>
      <w:pPr>
        <w:spacing w:line="480" w:lineRule="auto"/>
        <w:rPr>
          <w:szCs w:val="21"/>
          <w:u w:val="single"/>
        </w:rPr>
      </w:pPr>
      <w:r>
        <w:rPr>
          <w:rFonts w:hint="eastAsia"/>
          <w:szCs w:val="21"/>
        </w:rPr>
        <w:t>投标人代表签字</w:t>
      </w:r>
    </w:p>
    <w:p>
      <w:pPr>
        <w:spacing w:line="480" w:lineRule="auto"/>
        <w:rPr>
          <w:sz w:val="24"/>
        </w:rPr>
        <w:sectPr>
          <w:pgSz w:w="11907" w:h="16840"/>
          <w:pgMar w:top="1418" w:right="1134" w:bottom="1134" w:left="1134" w:header="907" w:footer="907" w:gutter="0"/>
          <w:cols w:space="720" w:num="1"/>
          <w:titlePg/>
          <w:docGrid w:linePitch="462" w:charSpace="0"/>
        </w:sectPr>
      </w:pPr>
    </w:p>
    <w:p>
      <w:pPr>
        <w:spacing w:line="400" w:lineRule="exact"/>
        <w:jc w:val="center"/>
        <w:rPr>
          <w:rFonts w:ascii="宋体" w:hAnsi="宋体"/>
          <w:b/>
          <w:spacing w:val="10"/>
          <w:szCs w:val="21"/>
        </w:rPr>
      </w:pPr>
      <w:r>
        <w:rPr>
          <w:rFonts w:hint="eastAsia" w:ascii="宋体" w:hAnsi="宋体"/>
          <w:b/>
          <w:spacing w:val="10"/>
          <w:szCs w:val="21"/>
        </w:rPr>
        <w:t>6.</w:t>
      </w:r>
      <w:r>
        <w:rPr>
          <w:rFonts w:hint="eastAsia" w:ascii="宋体" w:hAnsi="宋体"/>
          <w:b/>
          <w:spacing w:val="10"/>
          <w:szCs w:val="21"/>
          <w:lang w:val="en-US" w:eastAsia="zh-CN"/>
        </w:rPr>
        <w:t>5</w:t>
      </w:r>
      <w:r>
        <w:rPr>
          <w:rFonts w:ascii="宋体" w:hAnsi="宋体"/>
          <w:b/>
          <w:spacing w:val="10"/>
          <w:szCs w:val="21"/>
        </w:rPr>
        <w:t>法人代表授权证书</w:t>
      </w:r>
    </w:p>
    <w:p>
      <w:pPr>
        <w:spacing w:line="400" w:lineRule="exact"/>
        <w:rPr>
          <w:rFonts w:ascii="宋体" w:hAnsi="宋体"/>
          <w:spacing w:val="10"/>
          <w:szCs w:val="21"/>
        </w:rPr>
      </w:pPr>
    </w:p>
    <w:p>
      <w:pPr>
        <w:spacing w:line="480" w:lineRule="auto"/>
        <w:rPr>
          <w:rFonts w:ascii="宋体" w:hAnsi="宋体"/>
          <w:spacing w:val="10"/>
          <w:szCs w:val="21"/>
        </w:rPr>
      </w:pPr>
      <w:r>
        <w:rPr>
          <w:rFonts w:ascii="宋体" w:hAnsi="宋体"/>
          <w:spacing w:val="10"/>
          <w:szCs w:val="21"/>
        </w:rPr>
        <w:t>（公司名称）是根据中华人民共和国法律合法注册成立的，公司的法定地址为：（公司地址）。我（公司名称）法定代表人，（法人代表职务姓名），在此授权（被授权人公司、职务、姓名），作为本公司的合法代表，在项目的邀请招标中（招标编号：）签署有关文件。本授权书于年月日签字盖章生效，特此声明。</w:t>
      </w:r>
    </w:p>
    <w:p>
      <w:pPr>
        <w:spacing w:line="480" w:lineRule="auto"/>
        <w:rPr>
          <w:rFonts w:ascii="宋体" w:hAnsi="宋体"/>
          <w:spacing w:val="10"/>
          <w:szCs w:val="21"/>
        </w:rPr>
      </w:pPr>
    </w:p>
    <w:p>
      <w:pPr>
        <w:spacing w:line="400" w:lineRule="exact"/>
        <w:rPr>
          <w:rFonts w:ascii="宋体" w:hAnsi="宋体"/>
          <w:spacing w:val="10"/>
          <w:szCs w:val="21"/>
        </w:rPr>
      </w:pPr>
    </w:p>
    <w:p>
      <w:pPr>
        <w:spacing w:line="400" w:lineRule="exact"/>
        <w:rPr>
          <w:rFonts w:ascii="宋体" w:hAnsi="宋体"/>
          <w:spacing w:val="10"/>
          <w:szCs w:val="21"/>
        </w:rPr>
      </w:pPr>
    </w:p>
    <w:p>
      <w:pPr>
        <w:spacing w:line="400" w:lineRule="exact"/>
        <w:rPr>
          <w:rFonts w:ascii="宋体" w:hAnsi="宋体"/>
          <w:spacing w:val="10"/>
          <w:szCs w:val="21"/>
        </w:rPr>
      </w:pPr>
    </w:p>
    <w:p>
      <w:pPr>
        <w:spacing w:line="400" w:lineRule="exact"/>
        <w:rPr>
          <w:rFonts w:ascii="宋体" w:hAnsi="宋体"/>
          <w:spacing w:val="10"/>
          <w:szCs w:val="21"/>
        </w:rPr>
      </w:pPr>
      <w:r>
        <w:rPr>
          <w:rFonts w:ascii="宋体" w:hAnsi="宋体"/>
          <w:spacing w:val="10"/>
          <w:szCs w:val="21"/>
        </w:rPr>
        <w:t>单位名称（印刷体及盖章）</w:t>
      </w:r>
    </w:p>
    <w:p>
      <w:pPr>
        <w:spacing w:line="400" w:lineRule="exact"/>
        <w:rPr>
          <w:rFonts w:ascii="宋体" w:hAnsi="宋体"/>
          <w:spacing w:val="10"/>
          <w:szCs w:val="21"/>
        </w:rPr>
      </w:pPr>
    </w:p>
    <w:p>
      <w:pPr>
        <w:spacing w:line="400" w:lineRule="exact"/>
        <w:rPr>
          <w:rFonts w:ascii="宋体" w:hAnsi="宋体"/>
          <w:spacing w:val="10"/>
          <w:szCs w:val="21"/>
        </w:rPr>
      </w:pPr>
    </w:p>
    <w:p>
      <w:pPr>
        <w:spacing w:line="400" w:lineRule="exact"/>
        <w:rPr>
          <w:rFonts w:ascii="宋体" w:hAnsi="宋体"/>
          <w:spacing w:val="10"/>
          <w:szCs w:val="21"/>
          <w:u w:val="single"/>
        </w:rPr>
      </w:pPr>
      <w:r>
        <w:rPr>
          <w:rFonts w:ascii="宋体" w:hAnsi="宋体"/>
          <w:spacing w:val="10"/>
          <w:szCs w:val="21"/>
        </w:rPr>
        <w:t>法人代表签字：</w:t>
      </w:r>
    </w:p>
    <w:p>
      <w:pPr>
        <w:spacing w:line="400" w:lineRule="exact"/>
        <w:rPr>
          <w:rFonts w:ascii="宋体" w:hAnsi="宋体"/>
          <w:spacing w:val="10"/>
          <w:szCs w:val="21"/>
        </w:rPr>
      </w:pPr>
    </w:p>
    <w:p>
      <w:pPr>
        <w:spacing w:line="400" w:lineRule="exact"/>
        <w:rPr>
          <w:rFonts w:ascii="宋体" w:hAnsi="宋体"/>
          <w:spacing w:val="10"/>
          <w:szCs w:val="21"/>
        </w:rPr>
      </w:pPr>
    </w:p>
    <w:p>
      <w:pPr>
        <w:spacing w:line="400" w:lineRule="exact"/>
        <w:rPr>
          <w:rFonts w:ascii="宋体" w:hAnsi="宋体"/>
          <w:spacing w:val="10"/>
          <w:szCs w:val="21"/>
          <w:u w:val="single"/>
        </w:rPr>
      </w:pPr>
      <w:r>
        <w:rPr>
          <w:rFonts w:ascii="宋体" w:hAnsi="宋体"/>
          <w:spacing w:val="10"/>
          <w:szCs w:val="21"/>
        </w:rPr>
        <w:t>授权代表（被授权人）签字：</w:t>
      </w:r>
    </w:p>
    <w:p>
      <w:pPr>
        <w:spacing w:line="400" w:lineRule="exact"/>
        <w:rPr>
          <w:rFonts w:ascii="宋体" w:hAnsi="宋体"/>
          <w:spacing w:val="10"/>
          <w:szCs w:val="21"/>
        </w:rPr>
      </w:pPr>
    </w:p>
    <w:p>
      <w:pPr>
        <w:spacing w:line="400" w:lineRule="exact"/>
        <w:rPr>
          <w:spacing w:val="10"/>
          <w:sz w:val="24"/>
        </w:rPr>
      </w:pPr>
    </w:p>
    <w:p>
      <w:pPr>
        <w:pStyle w:val="84"/>
        <w:spacing w:before="100" w:beforeAutospacing="1" w:after="100" w:afterAutospacing="1"/>
        <w:rPr>
          <w:b/>
        </w:rPr>
      </w:pPr>
    </w:p>
    <w:p>
      <w:pPr>
        <w:spacing w:line="480" w:lineRule="auto"/>
        <w:jc w:val="center"/>
        <w:rPr>
          <w:b/>
          <w:sz w:val="24"/>
        </w:rPr>
      </w:pPr>
    </w:p>
    <w:p>
      <w:pPr>
        <w:spacing w:line="480" w:lineRule="auto"/>
        <w:jc w:val="center"/>
        <w:rPr>
          <w:b/>
          <w:sz w:val="24"/>
        </w:rPr>
      </w:pPr>
    </w:p>
    <w:p>
      <w:pPr>
        <w:spacing w:line="480" w:lineRule="auto"/>
        <w:jc w:val="center"/>
        <w:rPr>
          <w:b/>
          <w:sz w:val="24"/>
        </w:rPr>
      </w:pPr>
    </w:p>
    <w:p>
      <w:pPr>
        <w:spacing w:line="480" w:lineRule="auto"/>
        <w:jc w:val="center"/>
        <w:rPr>
          <w:b/>
          <w:sz w:val="24"/>
        </w:rPr>
      </w:pPr>
    </w:p>
    <w:p>
      <w:pPr>
        <w:spacing w:line="480" w:lineRule="auto"/>
        <w:jc w:val="center"/>
        <w:rPr>
          <w:b/>
          <w:sz w:val="24"/>
        </w:rPr>
      </w:pPr>
    </w:p>
    <w:p>
      <w:pPr>
        <w:spacing w:line="480" w:lineRule="auto"/>
        <w:jc w:val="center"/>
        <w:rPr>
          <w:b/>
          <w:sz w:val="24"/>
        </w:rPr>
      </w:pPr>
    </w:p>
    <w:p>
      <w:pPr>
        <w:spacing w:line="480" w:lineRule="auto"/>
        <w:jc w:val="center"/>
        <w:rPr>
          <w:b/>
          <w:sz w:val="24"/>
        </w:rPr>
      </w:pPr>
    </w:p>
    <w:p>
      <w:pPr>
        <w:spacing w:line="480" w:lineRule="auto"/>
        <w:jc w:val="center"/>
        <w:rPr>
          <w:b/>
          <w:sz w:val="24"/>
        </w:rPr>
      </w:pPr>
    </w:p>
    <w:p>
      <w:pPr>
        <w:spacing w:line="480" w:lineRule="auto"/>
        <w:jc w:val="center"/>
        <w:rPr>
          <w:b/>
          <w:sz w:val="24"/>
        </w:rPr>
      </w:pPr>
      <w:r>
        <w:rPr>
          <w:b/>
          <w:sz w:val="24"/>
        </w:rPr>
        <w:t>6.</w:t>
      </w:r>
      <w:r>
        <w:rPr>
          <w:rFonts w:hint="eastAsia"/>
          <w:b/>
          <w:sz w:val="24"/>
          <w:lang w:val="en-US" w:eastAsia="zh-CN"/>
        </w:rPr>
        <w:t>6</w:t>
      </w:r>
      <w:r>
        <w:rPr>
          <w:rFonts w:hint="eastAsia"/>
          <w:b/>
          <w:sz w:val="24"/>
        </w:rPr>
        <w:t xml:space="preserve">关于资格的声明函 </w:t>
      </w:r>
    </w:p>
    <w:p>
      <w:pPr>
        <w:spacing w:before="100" w:beforeAutospacing="1" w:after="100" w:afterAutospacing="1"/>
        <w:rPr>
          <w:szCs w:val="21"/>
        </w:rPr>
      </w:pPr>
      <w:r>
        <w:rPr>
          <w:rFonts w:hint="eastAsia"/>
          <w:szCs w:val="21"/>
        </w:rPr>
        <w:t>致：</w:t>
      </w:r>
      <w:r>
        <w:rPr>
          <w:rFonts w:hint="eastAsia"/>
          <w:szCs w:val="21"/>
          <w:u w:val="single"/>
        </w:rPr>
        <w:t>（招标单位）</w:t>
      </w:r>
    </w:p>
    <w:p>
      <w:pPr>
        <w:spacing w:before="100" w:beforeAutospacing="1" w:after="100" w:afterAutospacing="1"/>
        <w:rPr>
          <w:szCs w:val="21"/>
        </w:rPr>
      </w:pPr>
      <w:r>
        <w:rPr>
          <w:rFonts w:hint="eastAsia"/>
          <w:szCs w:val="21"/>
        </w:rPr>
        <w:t>关于贵方（投标邀请函的时间）第（招标编号）投标邀请，本签字人愿意参加投标，提供招标设备一览表中规定的（设备名称），并证明提交的下列文件和说明是准确的和真实的。</w:t>
      </w:r>
    </w:p>
    <w:p>
      <w:pPr>
        <w:numPr>
          <w:ilvl w:val="0"/>
          <w:numId w:val="4"/>
        </w:numPr>
        <w:spacing w:before="100" w:beforeAutospacing="1" w:after="100" w:afterAutospacing="1"/>
        <w:rPr>
          <w:szCs w:val="21"/>
        </w:rPr>
      </w:pPr>
      <w:r>
        <w:rPr>
          <w:rFonts w:hint="eastAsia"/>
          <w:szCs w:val="21"/>
        </w:rPr>
        <w:t>营业执照副本复印件（</w:t>
      </w:r>
      <w:r>
        <w:rPr>
          <w:rFonts w:hint="eastAsia" w:ascii="黑体" w:eastAsia="黑体"/>
          <w:b/>
          <w:bCs/>
          <w:szCs w:val="21"/>
          <w:u w:val="dotted"/>
        </w:rPr>
        <w:t>工商管理部门专用复印件，并加盖工商局印章，或复印件上须有年审合格印章</w:t>
      </w:r>
      <w:r>
        <w:rPr>
          <w:rFonts w:hint="eastAsia"/>
          <w:szCs w:val="21"/>
        </w:rPr>
        <w:t>），税务登记证复印件；</w:t>
      </w:r>
    </w:p>
    <w:p>
      <w:pPr>
        <w:numPr>
          <w:ilvl w:val="0"/>
          <w:numId w:val="4"/>
        </w:numPr>
        <w:spacing w:before="100" w:beforeAutospacing="1" w:after="100" w:afterAutospacing="1"/>
        <w:rPr>
          <w:szCs w:val="21"/>
        </w:rPr>
      </w:pPr>
      <w:r>
        <w:rPr>
          <w:rFonts w:hint="eastAsia"/>
          <w:szCs w:val="21"/>
        </w:rPr>
        <w:t>我方与制造商的代理协议书或制造商出具的授权书。</w:t>
      </w:r>
    </w:p>
    <w:p>
      <w:pPr>
        <w:numPr>
          <w:ilvl w:val="0"/>
          <w:numId w:val="4"/>
        </w:numPr>
        <w:spacing w:before="100" w:beforeAutospacing="1" w:after="100" w:afterAutospacing="1"/>
        <w:rPr>
          <w:szCs w:val="21"/>
        </w:rPr>
      </w:pPr>
      <w:r>
        <w:rPr>
          <w:rFonts w:hint="eastAsia"/>
          <w:szCs w:val="21"/>
        </w:rPr>
        <w:t>其它能使买方满意的资格证明文件。</w:t>
      </w:r>
    </w:p>
    <w:p>
      <w:pPr>
        <w:numPr>
          <w:ilvl w:val="0"/>
          <w:numId w:val="4"/>
        </w:numPr>
        <w:spacing w:before="100" w:beforeAutospacing="1" w:after="100" w:afterAutospacing="1"/>
        <w:rPr>
          <w:szCs w:val="21"/>
        </w:rPr>
      </w:pPr>
      <w:r>
        <w:rPr>
          <w:rFonts w:hint="eastAsia"/>
          <w:szCs w:val="21"/>
        </w:rPr>
        <w:t>本签字人确认资格文件中的说明是真实的、准确的。</w:t>
      </w:r>
    </w:p>
    <w:p>
      <w:pPr>
        <w:spacing w:before="100" w:beforeAutospacing="1" w:after="100" w:afterAutospacing="1"/>
        <w:rPr>
          <w:szCs w:val="21"/>
        </w:rPr>
      </w:pPr>
      <w:r>
        <w:rPr>
          <w:rFonts w:hint="eastAsia"/>
          <w:szCs w:val="21"/>
        </w:rPr>
        <w:t>单位的名称和地址：受权签署本资格文件人：</w:t>
      </w:r>
    </w:p>
    <w:p>
      <w:pPr>
        <w:spacing w:before="100" w:beforeAutospacing="1" w:after="100" w:afterAutospacing="1"/>
        <w:rPr>
          <w:szCs w:val="21"/>
        </w:rPr>
      </w:pPr>
      <w:r>
        <w:rPr>
          <w:rFonts w:hint="eastAsia"/>
          <w:szCs w:val="21"/>
        </w:rPr>
        <w:t>名称：签字：</w:t>
      </w:r>
    </w:p>
    <w:p>
      <w:pPr>
        <w:spacing w:before="100" w:beforeAutospacing="1" w:after="100" w:afterAutospacing="1"/>
        <w:rPr>
          <w:szCs w:val="21"/>
        </w:rPr>
      </w:pPr>
      <w:r>
        <w:rPr>
          <w:rFonts w:hint="eastAsia"/>
          <w:szCs w:val="21"/>
        </w:rPr>
        <w:t>地址：签字人姓名、职务</w:t>
      </w:r>
    </w:p>
    <w:p>
      <w:pPr>
        <w:spacing w:before="100" w:beforeAutospacing="1" w:after="100" w:afterAutospacing="1"/>
        <w:rPr>
          <w:szCs w:val="21"/>
          <w:u w:val="single"/>
        </w:rPr>
      </w:pPr>
      <w:r>
        <w:rPr>
          <w:rFonts w:hint="eastAsia"/>
          <w:szCs w:val="21"/>
        </w:rPr>
        <w:t>传真</w:t>
      </w:r>
    </w:p>
    <w:p>
      <w:pPr>
        <w:pStyle w:val="84"/>
        <w:spacing w:before="100" w:beforeAutospacing="1" w:after="100" w:afterAutospacing="1"/>
      </w:pPr>
      <w:r>
        <w:rPr>
          <w:rFonts w:hint="eastAsia"/>
          <w:sz w:val="21"/>
          <w:szCs w:val="21"/>
        </w:rPr>
        <w:t>邮编：电话：</w:t>
      </w:r>
    </w:p>
    <w:p>
      <w:pPr>
        <w:pStyle w:val="84"/>
        <w:spacing w:before="100" w:beforeAutospacing="1" w:after="100" w:afterAutospacing="1"/>
      </w:pPr>
    </w:p>
    <w:p>
      <w:pPr>
        <w:pStyle w:val="84"/>
        <w:spacing w:before="100" w:beforeAutospacing="1" w:after="100" w:afterAutospacing="1"/>
      </w:pPr>
    </w:p>
    <w:p>
      <w:pPr>
        <w:pStyle w:val="84"/>
        <w:spacing w:before="100" w:beforeAutospacing="1" w:after="100" w:afterAutospacing="1"/>
      </w:pPr>
    </w:p>
    <w:p>
      <w:pPr>
        <w:pStyle w:val="84"/>
        <w:spacing w:before="100" w:beforeAutospacing="1" w:after="100" w:afterAutospacing="1"/>
      </w:pPr>
    </w:p>
    <w:p>
      <w:pPr>
        <w:pStyle w:val="84"/>
        <w:spacing w:before="100" w:beforeAutospacing="1" w:after="100" w:afterAutospacing="1"/>
      </w:pPr>
    </w:p>
    <w:p>
      <w:pPr>
        <w:spacing w:line="400" w:lineRule="exact"/>
        <w:jc w:val="center"/>
        <w:rPr>
          <w:rFonts w:ascii="宋体" w:cs="宋体"/>
          <w:b/>
          <w:szCs w:val="21"/>
        </w:rPr>
      </w:pPr>
      <w:r>
        <w:rPr>
          <w:b/>
        </w:rPr>
        <w:br w:type="page"/>
      </w:r>
      <w:r>
        <w:rPr>
          <w:rFonts w:hint="eastAsia"/>
          <w:b/>
          <w:bCs/>
          <w:color w:val="000000"/>
          <w:kern w:val="0"/>
          <w:sz w:val="24"/>
        </w:rPr>
        <w:t>6.</w:t>
      </w:r>
      <w:r>
        <w:rPr>
          <w:rFonts w:hint="eastAsia"/>
          <w:b/>
          <w:bCs/>
          <w:color w:val="000000"/>
          <w:kern w:val="0"/>
          <w:sz w:val="24"/>
          <w:lang w:val="en-US" w:eastAsia="zh-CN"/>
        </w:rPr>
        <w:t>7</w:t>
      </w:r>
      <w:r>
        <w:rPr>
          <w:rFonts w:hint="eastAsia" w:ascii="宋体" w:cs="宋体"/>
          <w:b/>
        </w:rPr>
        <w:t>近三年完成类似项目一览表</w:t>
      </w:r>
    </w:p>
    <w:tbl>
      <w:tblPr>
        <w:tblStyle w:val="33"/>
        <w:tblW w:w="9321" w:type="dxa"/>
        <w:jc w:val="center"/>
        <w:tblLayout w:type="fixed"/>
        <w:tblCellMar>
          <w:top w:w="0" w:type="dxa"/>
          <w:left w:w="108" w:type="dxa"/>
          <w:bottom w:w="0" w:type="dxa"/>
          <w:right w:w="108" w:type="dxa"/>
        </w:tblCellMar>
      </w:tblPr>
      <w:tblGrid>
        <w:gridCol w:w="1188"/>
        <w:gridCol w:w="1252"/>
        <w:gridCol w:w="1476"/>
        <w:gridCol w:w="996"/>
        <w:gridCol w:w="2071"/>
        <w:gridCol w:w="1120"/>
        <w:gridCol w:w="1218"/>
      </w:tblGrid>
      <w:tr>
        <w:tblPrEx>
          <w:tblCellMar>
            <w:top w:w="0" w:type="dxa"/>
            <w:left w:w="108" w:type="dxa"/>
            <w:bottom w:w="0" w:type="dxa"/>
            <w:right w:w="108" w:type="dxa"/>
          </w:tblCellMar>
        </w:tblPrEx>
        <w:trPr>
          <w:trHeight w:val="239" w:hRule="atLeast"/>
          <w:jc w:val="center"/>
        </w:trPr>
        <w:tc>
          <w:tcPr>
            <w:tcW w:w="1188" w:type="dxa"/>
            <w:tcBorders>
              <w:top w:val="double" w:color="000000" w:sz="8" w:space="0"/>
              <w:left w:val="double" w:color="000000" w:sz="8" w:space="0"/>
              <w:bottom w:val="single" w:color="000000" w:sz="8" w:space="0"/>
              <w:right w:val="single" w:color="auto" w:sz="4" w:space="0"/>
            </w:tcBorders>
          </w:tcPr>
          <w:p>
            <w:pPr>
              <w:pStyle w:val="84"/>
              <w:spacing w:line="480" w:lineRule="auto"/>
              <w:jc w:val="center"/>
              <w:rPr>
                <w:rFonts w:ascii="宋体" w:cs="宋体"/>
                <w:sz w:val="21"/>
                <w:szCs w:val="21"/>
              </w:rPr>
            </w:pPr>
            <w:r>
              <w:rPr>
                <w:rFonts w:hint="eastAsia" w:ascii="宋体" w:cs="宋体"/>
                <w:sz w:val="21"/>
                <w:szCs w:val="21"/>
              </w:rPr>
              <w:t>设备名称</w:t>
            </w:r>
          </w:p>
        </w:tc>
        <w:tc>
          <w:tcPr>
            <w:tcW w:w="1252" w:type="dxa"/>
            <w:tcBorders>
              <w:top w:val="double" w:color="000000" w:sz="8" w:space="0"/>
              <w:left w:val="single" w:color="auto" w:sz="4" w:space="0"/>
              <w:bottom w:val="single" w:color="000000" w:sz="8" w:space="0"/>
              <w:right w:val="single" w:color="000000" w:sz="8" w:space="0"/>
            </w:tcBorders>
          </w:tcPr>
          <w:p>
            <w:pPr>
              <w:pStyle w:val="84"/>
              <w:spacing w:line="480" w:lineRule="auto"/>
              <w:jc w:val="center"/>
              <w:rPr>
                <w:rFonts w:ascii="宋体" w:cs="宋体"/>
                <w:sz w:val="21"/>
                <w:szCs w:val="21"/>
              </w:rPr>
            </w:pPr>
            <w:r>
              <w:rPr>
                <w:rFonts w:hint="eastAsia" w:ascii="宋体" w:cs="宋体"/>
                <w:sz w:val="21"/>
                <w:szCs w:val="21"/>
              </w:rPr>
              <w:t>用户名称</w:t>
            </w:r>
          </w:p>
        </w:tc>
        <w:tc>
          <w:tcPr>
            <w:tcW w:w="1476" w:type="dxa"/>
            <w:tcBorders>
              <w:top w:val="double" w:color="000000" w:sz="8" w:space="0"/>
              <w:left w:val="single" w:color="000000" w:sz="8" w:space="0"/>
              <w:bottom w:val="single" w:color="000000" w:sz="8" w:space="0"/>
              <w:right w:val="single" w:color="000000" w:sz="8" w:space="0"/>
            </w:tcBorders>
          </w:tcPr>
          <w:p>
            <w:pPr>
              <w:pStyle w:val="84"/>
              <w:spacing w:line="480" w:lineRule="auto"/>
              <w:jc w:val="center"/>
              <w:rPr>
                <w:rFonts w:ascii="宋体" w:cs="宋体"/>
                <w:sz w:val="21"/>
                <w:szCs w:val="21"/>
              </w:rPr>
            </w:pPr>
            <w:r>
              <w:rPr>
                <w:rFonts w:hint="eastAsia" w:ascii="宋体" w:cs="宋体"/>
                <w:sz w:val="21"/>
                <w:szCs w:val="21"/>
              </w:rPr>
              <w:t>型号</w:t>
            </w:r>
          </w:p>
        </w:tc>
        <w:tc>
          <w:tcPr>
            <w:tcW w:w="996" w:type="dxa"/>
            <w:tcBorders>
              <w:top w:val="double" w:color="000000" w:sz="8" w:space="0"/>
              <w:left w:val="single" w:color="000000" w:sz="8" w:space="0"/>
              <w:bottom w:val="single" w:color="000000" w:sz="8" w:space="0"/>
              <w:right w:val="single" w:color="000000" w:sz="8" w:space="0"/>
            </w:tcBorders>
          </w:tcPr>
          <w:p>
            <w:pPr>
              <w:pStyle w:val="84"/>
              <w:spacing w:line="480" w:lineRule="auto"/>
              <w:jc w:val="center"/>
              <w:rPr>
                <w:rFonts w:ascii="宋体" w:cs="宋体"/>
                <w:sz w:val="21"/>
                <w:szCs w:val="21"/>
              </w:rPr>
            </w:pPr>
            <w:r>
              <w:rPr>
                <w:rFonts w:hint="eastAsia" w:ascii="宋体" w:cs="宋体"/>
                <w:sz w:val="21"/>
                <w:szCs w:val="21"/>
              </w:rPr>
              <w:t>数量</w:t>
            </w:r>
          </w:p>
        </w:tc>
        <w:tc>
          <w:tcPr>
            <w:tcW w:w="2071" w:type="dxa"/>
            <w:tcBorders>
              <w:top w:val="double" w:color="000000" w:sz="8" w:space="0"/>
              <w:left w:val="single" w:color="000000" w:sz="8" w:space="0"/>
              <w:bottom w:val="single" w:color="000000" w:sz="8" w:space="0"/>
              <w:right w:val="single" w:color="auto" w:sz="4" w:space="0"/>
            </w:tcBorders>
          </w:tcPr>
          <w:p>
            <w:pPr>
              <w:pStyle w:val="84"/>
              <w:spacing w:line="480" w:lineRule="auto"/>
              <w:jc w:val="center"/>
              <w:rPr>
                <w:rFonts w:ascii="宋体" w:cs="宋体"/>
                <w:sz w:val="21"/>
                <w:szCs w:val="21"/>
              </w:rPr>
            </w:pPr>
            <w:r>
              <w:rPr>
                <w:rFonts w:hint="eastAsia" w:ascii="宋体" w:cs="宋体"/>
                <w:sz w:val="21"/>
                <w:szCs w:val="21"/>
              </w:rPr>
              <w:t>投用日期</w:t>
            </w:r>
          </w:p>
        </w:tc>
        <w:tc>
          <w:tcPr>
            <w:tcW w:w="1120" w:type="dxa"/>
            <w:tcBorders>
              <w:top w:val="double" w:color="000000" w:sz="8" w:space="0"/>
              <w:left w:val="single" w:color="auto" w:sz="4" w:space="0"/>
              <w:bottom w:val="single" w:color="000000" w:sz="8" w:space="0"/>
              <w:right w:val="single" w:color="auto" w:sz="6" w:space="0"/>
            </w:tcBorders>
          </w:tcPr>
          <w:p>
            <w:pPr>
              <w:pStyle w:val="84"/>
              <w:spacing w:line="480" w:lineRule="auto"/>
              <w:jc w:val="center"/>
              <w:rPr>
                <w:rFonts w:ascii="宋体" w:cs="宋体"/>
                <w:sz w:val="21"/>
                <w:szCs w:val="21"/>
              </w:rPr>
            </w:pPr>
            <w:r>
              <w:rPr>
                <w:rFonts w:hint="eastAsia" w:ascii="宋体" w:cs="宋体"/>
                <w:sz w:val="21"/>
                <w:szCs w:val="21"/>
              </w:rPr>
              <w:t>联系人</w:t>
            </w:r>
          </w:p>
        </w:tc>
        <w:tc>
          <w:tcPr>
            <w:tcW w:w="1218" w:type="dxa"/>
            <w:tcBorders>
              <w:top w:val="double" w:color="000000" w:sz="8" w:space="0"/>
              <w:left w:val="single" w:color="auto" w:sz="6" w:space="0"/>
              <w:bottom w:val="single" w:color="000000" w:sz="8" w:space="0"/>
              <w:right w:val="double" w:color="000000" w:sz="8" w:space="0"/>
            </w:tcBorders>
          </w:tcPr>
          <w:p>
            <w:pPr>
              <w:pStyle w:val="84"/>
              <w:spacing w:line="480" w:lineRule="auto"/>
              <w:jc w:val="center"/>
              <w:rPr>
                <w:rFonts w:ascii="宋体" w:cs="宋体"/>
                <w:sz w:val="21"/>
                <w:szCs w:val="21"/>
              </w:rPr>
            </w:pPr>
            <w:r>
              <w:rPr>
                <w:rFonts w:hint="eastAsia" w:ascii="宋体" w:cs="宋体"/>
                <w:sz w:val="21"/>
                <w:szCs w:val="21"/>
              </w:rPr>
              <w:t>备注</w:t>
            </w:r>
          </w:p>
        </w:tc>
      </w:tr>
      <w:tr>
        <w:tblPrEx>
          <w:tblCellMar>
            <w:top w:w="0" w:type="dxa"/>
            <w:left w:w="108" w:type="dxa"/>
            <w:bottom w:w="0" w:type="dxa"/>
            <w:right w:w="108" w:type="dxa"/>
          </w:tblCellMar>
        </w:tblPrEx>
        <w:trPr>
          <w:trHeight w:val="315" w:hRule="atLeast"/>
          <w:jc w:val="center"/>
        </w:trPr>
        <w:tc>
          <w:tcPr>
            <w:tcW w:w="1188" w:type="dxa"/>
            <w:tcBorders>
              <w:top w:val="single" w:color="000000" w:sz="8" w:space="0"/>
              <w:left w:val="double" w:color="000000" w:sz="8" w:space="0"/>
              <w:bottom w:val="single" w:color="000000" w:sz="8" w:space="0"/>
              <w:right w:val="single" w:color="auto" w:sz="4" w:space="0"/>
            </w:tcBorders>
          </w:tcPr>
          <w:p>
            <w:pPr>
              <w:pStyle w:val="84"/>
              <w:spacing w:line="480" w:lineRule="auto"/>
              <w:jc w:val="center"/>
              <w:rPr>
                <w:sz w:val="21"/>
                <w:szCs w:val="21"/>
              </w:rPr>
            </w:pPr>
          </w:p>
        </w:tc>
        <w:tc>
          <w:tcPr>
            <w:tcW w:w="1252"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47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99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2071"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120" w:type="dxa"/>
            <w:tcBorders>
              <w:top w:val="single" w:color="000000" w:sz="8" w:space="0"/>
              <w:left w:val="single" w:color="auto" w:sz="4" w:space="0"/>
              <w:bottom w:val="single" w:color="000000" w:sz="8" w:space="0"/>
              <w:right w:val="single" w:color="auto" w:sz="6" w:space="0"/>
            </w:tcBorders>
          </w:tcPr>
          <w:p>
            <w:pPr>
              <w:pStyle w:val="84"/>
              <w:spacing w:line="480" w:lineRule="auto"/>
              <w:jc w:val="center"/>
              <w:rPr>
                <w:sz w:val="21"/>
                <w:szCs w:val="21"/>
              </w:rPr>
            </w:pPr>
          </w:p>
        </w:tc>
        <w:tc>
          <w:tcPr>
            <w:tcW w:w="1218" w:type="dxa"/>
            <w:tcBorders>
              <w:top w:val="single" w:color="000000" w:sz="8" w:space="0"/>
              <w:left w:val="single" w:color="auto" w:sz="6" w:space="0"/>
              <w:bottom w:val="single" w:color="000000" w:sz="8" w:space="0"/>
              <w:right w:val="single" w:color="000000" w:sz="8" w:space="0"/>
            </w:tcBorders>
          </w:tcPr>
          <w:p>
            <w:pPr>
              <w:pStyle w:val="84"/>
              <w:spacing w:line="480" w:lineRule="auto"/>
              <w:jc w:val="center"/>
              <w:rPr>
                <w:sz w:val="21"/>
                <w:szCs w:val="21"/>
              </w:rPr>
            </w:pPr>
          </w:p>
        </w:tc>
      </w:tr>
      <w:tr>
        <w:tblPrEx>
          <w:tblCellMar>
            <w:top w:w="0" w:type="dxa"/>
            <w:left w:w="108" w:type="dxa"/>
            <w:bottom w:w="0" w:type="dxa"/>
            <w:right w:w="108" w:type="dxa"/>
          </w:tblCellMar>
        </w:tblPrEx>
        <w:trPr>
          <w:trHeight w:val="315" w:hRule="atLeast"/>
          <w:jc w:val="center"/>
        </w:trPr>
        <w:tc>
          <w:tcPr>
            <w:tcW w:w="1188" w:type="dxa"/>
            <w:tcBorders>
              <w:top w:val="single" w:color="000000" w:sz="8" w:space="0"/>
              <w:left w:val="double" w:color="000000" w:sz="8" w:space="0"/>
              <w:bottom w:val="single" w:color="000000" w:sz="8" w:space="0"/>
              <w:right w:val="single" w:color="auto" w:sz="4" w:space="0"/>
            </w:tcBorders>
          </w:tcPr>
          <w:p>
            <w:pPr>
              <w:pStyle w:val="84"/>
              <w:spacing w:line="480" w:lineRule="auto"/>
              <w:jc w:val="center"/>
              <w:rPr>
                <w:sz w:val="21"/>
                <w:szCs w:val="21"/>
              </w:rPr>
            </w:pPr>
          </w:p>
        </w:tc>
        <w:tc>
          <w:tcPr>
            <w:tcW w:w="1252"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47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99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2071"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120" w:type="dxa"/>
            <w:tcBorders>
              <w:top w:val="single" w:color="000000" w:sz="8" w:space="0"/>
              <w:left w:val="single" w:color="auto" w:sz="4" w:space="0"/>
              <w:bottom w:val="single" w:color="000000" w:sz="8" w:space="0"/>
              <w:right w:val="single" w:color="auto" w:sz="6" w:space="0"/>
            </w:tcBorders>
          </w:tcPr>
          <w:p>
            <w:pPr>
              <w:pStyle w:val="84"/>
              <w:spacing w:line="480" w:lineRule="auto"/>
              <w:jc w:val="center"/>
              <w:rPr>
                <w:sz w:val="21"/>
                <w:szCs w:val="21"/>
              </w:rPr>
            </w:pPr>
          </w:p>
        </w:tc>
        <w:tc>
          <w:tcPr>
            <w:tcW w:w="1218" w:type="dxa"/>
            <w:tcBorders>
              <w:top w:val="single" w:color="000000" w:sz="8" w:space="0"/>
              <w:left w:val="single" w:color="auto" w:sz="6" w:space="0"/>
              <w:bottom w:val="single" w:color="000000" w:sz="8" w:space="0"/>
              <w:right w:val="single" w:color="000000" w:sz="8" w:space="0"/>
            </w:tcBorders>
          </w:tcPr>
          <w:p>
            <w:pPr>
              <w:pStyle w:val="84"/>
              <w:spacing w:line="480" w:lineRule="auto"/>
              <w:jc w:val="center"/>
              <w:rPr>
                <w:sz w:val="21"/>
                <w:szCs w:val="21"/>
              </w:rPr>
            </w:pPr>
          </w:p>
        </w:tc>
      </w:tr>
      <w:tr>
        <w:tblPrEx>
          <w:tblCellMar>
            <w:top w:w="0" w:type="dxa"/>
            <w:left w:w="108" w:type="dxa"/>
            <w:bottom w:w="0" w:type="dxa"/>
            <w:right w:w="108" w:type="dxa"/>
          </w:tblCellMar>
        </w:tblPrEx>
        <w:trPr>
          <w:trHeight w:val="315" w:hRule="atLeast"/>
          <w:jc w:val="center"/>
        </w:trPr>
        <w:tc>
          <w:tcPr>
            <w:tcW w:w="1188" w:type="dxa"/>
            <w:tcBorders>
              <w:top w:val="single" w:color="000000" w:sz="8" w:space="0"/>
              <w:left w:val="double" w:color="000000" w:sz="8" w:space="0"/>
              <w:bottom w:val="single" w:color="000000" w:sz="8" w:space="0"/>
              <w:right w:val="single" w:color="auto" w:sz="4" w:space="0"/>
            </w:tcBorders>
          </w:tcPr>
          <w:p>
            <w:pPr>
              <w:pStyle w:val="84"/>
              <w:spacing w:line="480" w:lineRule="auto"/>
              <w:jc w:val="center"/>
              <w:rPr>
                <w:sz w:val="21"/>
                <w:szCs w:val="21"/>
              </w:rPr>
            </w:pPr>
          </w:p>
        </w:tc>
        <w:tc>
          <w:tcPr>
            <w:tcW w:w="1252"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47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99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2071"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120" w:type="dxa"/>
            <w:tcBorders>
              <w:top w:val="single" w:color="000000" w:sz="8" w:space="0"/>
              <w:left w:val="single" w:color="auto" w:sz="4" w:space="0"/>
              <w:bottom w:val="single" w:color="000000" w:sz="8" w:space="0"/>
              <w:right w:val="single" w:color="auto" w:sz="6" w:space="0"/>
            </w:tcBorders>
          </w:tcPr>
          <w:p>
            <w:pPr>
              <w:pStyle w:val="84"/>
              <w:spacing w:line="480" w:lineRule="auto"/>
              <w:jc w:val="center"/>
              <w:rPr>
                <w:sz w:val="21"/>
                <w:szCs w:val="21"/>
              </w:rPr>
            </w:pPr>
          </w:p>
        </w:tc>
        <w:tc>
          <w:tcPr>
            <w:tcW w:w="1218" w:type="dxa"/>
            <w:tcBorders>
              <w:top w:val="single" w:color="000000" w:sz="8" w:space="0"/>
              <w:left w:val="single" w:color="auto" w:sz="6" w:space="0"/>
              <w:bottom w:val="single" w:color="000000" w:sz="8" w:space="0"/>
              <w:right w:val="single" w:color="000000" w:sz="8" w:space="0"/>
            </w:tcBorders>
          </w:tcPr>
          <w:p>
            <w:pPr>
              <w:pStyle w:val="84"/>
              <w:spacing w:line="480" w:lineRule="auto"/>
              <w:jc w:val="center"/>
              <w:rPr>
                <w:sz w:val="21"/>
                <w:szCs w:val="21"/>
              </w:rPr>
            </w:pPr>
          </w:p>
        </w:tc>
      </w:tr>
      <w:tr>
        <w:tblPrEx>
          <w:tblCellMar>
            <w:top w:w="0" w:type="dxa"/>
            <w:left w:w="108" w:type="dxa"/>
            <w:bottom w:w="0" w:type="dxa"/>
            <w:right w:w="108" w:type="dxa"/>
          </w:tblCellMar>
        </w:tblPrEx>
        <w:trPr>
          <w:trHeight w:val="315" w:hRule="atLeast"/>
          <w:jc w:val="center"/>
        </w:trPr>
        <w:tc>
          <w:tcPr>
            <w:tcW w:w="1188" w:type="dxa"/>
            <w:tcBorders>
              <w:top w:val="single" w:color="000000" w:sz="8" w:space="0"/>
              <w:left w:val="double" w:color="000000" w:sz="8" w:space="0"/>
              <w:bottom w:val="single" w:color="000000" w:sz="8" w:space="0"/>
              <w:right w:val="single" w:color="auto" w:sz="4" w:space="0"/>
            </w:tcBorders>
          </w:tcPr>
          <w:p>
            <w:pPr>
              <w:pStyle w:val="84"/>
              <w:spacing w:line="480" w:lineRule="auto"/>
              <w:jc w:val="center"/>
              <w:rPr>
                <w:sz w:val="21"/>
                <w:szCs w:val="21"/>
              </w:rPr>
            </w:pPr>
          </w:p>
        </w:tc>
        <w:tc>
          <w:tcPr>
            <w:tcW w:w="1252"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47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99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2071"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120" w:type="dxa"/>
            <w:tcBorders>
              <w:top w:val="single" w:color="000000" w:sz="8" w:space="0"/>
              <w:left w:val="single" w:color="auto" w:sz="4" w:space="0"/>
              <w:bottom w:val="single" w:color="000000" w:sz="8" w:space="0"/>
              <w:right w:val="single" w:color="auto" w:sz="6" w:space="0"/>
            </w:tcBorders>
          </w:tcPr>
          <w:p>
            <w:pPr>
              <w:pStyle w:val="84"/>
              <w:spacing w:line="480" w:lineRule="auto"/>
              <w:jc w:val="center"/>
              <w:rPr>
                <w:sz w:val="21"/>
                <w:szCs w:val="21"/>
              </w:rPr>
            </w:pPr>
          </w:p>
        </w:tc>
        <w:tc>
          <w:tcPr>
            <w:tcW w:w="1218" w:type="dxa"/>
            <w:tcBorders>
              <w:top w:val="single" w:color="000000" w:sz="8" w:space="0"/>
              <w:left w:val="single" w:color="auto" w:sz="6" w:space="0"/>
              <w:bottom w:val="single" w:color="000000" w:sz="8" w:space="0"/>
              <w:right w:val="single" w:color="000000" w:sz="8" w:space="0"/>
            </w:tcBorders>
          </w:tcPr>
          <w:p>
            <w:pPr>
              <w:pStyle w:val="84"/>
              <w:spacing w:line="480" w:lineRule="auto"/>
              <w:jc w:val="center"/>
              <w:rPr>
                <w:sz w:val="21"/>
                <w:szCs w:val="21"/>
              </w:rPr>
            </w:pPr>
          </w:p>
        </w:tc>
      </w:tr>
      <w:tr>
        <w:tblPrEx>
          <w:tblCellMar>
            <w:top w:w="0" w:type="dxa"/>
            <w:left w:w="108" w:type="dxa"/>
            <w:bottom w:w="0" w:type="dxa"/>
            <w:right w:w="108" w:type="dxa"/>
          </w:tblCellMar>
        </w:tblPrEx>
        <w:trPr>
          <w:trHeight w:val="315" w:hRule="atLeast"/>
          <w:jc w:val="center"/>
        </w:trPr>
        <w:tc>
          <w:tcPr>
            <w:tcW w:w="1188" w:type="dxa"/>
            <w:tcBorders>
              <w:top w:val="single" w:color="000000" w:sz="8" w:space="0"/>
              <w:left w:val="double" w:color="000000" w:sz="8" w:space="0"/>
              <w:bottom w:val="single" w:color="000000" w:sz="8" w:space="0"/>
              <w:right w:val="single" w:color="auto" w:sz="4" w:space="0"/>
            </w:tcBorders>
          </w:tcPr>
          <w:p>
            <w:pPr>
              <w:pStyle w:val="84"/>
              <w:spacing w:line="480" w:lineRule="auto"/>
              <w:jc w:val="center"/>
              <w:rPr>
                <w:sz w:val="21"/>
                <w:szCs w:val="21"/>
              </w:rPr>
            </w:pPr>
          </w:p>
        </w:tc>
        <w:tc>
          <w:tcPr>
            <w:tcW w:w="1252"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47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99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2071"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120" w:type="dxa"/>
            <w:tcBorders>
              <w:top w:val="single" w:color="000000" w:sz="8" w:space="0"/>
              <w:left w:val="single" w:color="auto" w:sz="4" w:space="0"/>
              <w:bottom w:val="single" w:color="000000" w:sz="8" w:space="0"/>
              <w:right w:val="single" w:color="auto" w:sz="6" w:space="0"/>
            </w:tcBorders>
          </w:tcPr>
          <w:p>
            <w:pPr>
              <w:pStyle w:val="84"/>
              <w:spacing w:line="480" w:lineRule="auto"/>
              <w:jc w:val="center"/>
              <w:rPr>
                <w:sz w:val="21"/>
                <w:szCs w:val="21"/>
              </w:rPr>
            </w:pPr>
          </w:p>
        </w:tc>
        <w:tc>
          <w:tcPr>
            <w:tcW w:w="1218" w:type="dxa"/>
            <w:tcBorders>
              <w:top w:val="single" w:color="000000" w:sz="8" w:space="0"/>
              <w:left w:val="single" w:color="auto" w:sz="6" w:space="0"/>
              <w:bottom w:val="single" w:color="000000" w:sz="8" w:space="0"/>
              <w:right w:val="single" w:color="000000" w:sz="8" w:space="0"/>
            </w:tcBorders>
          </w:tcPr>
          <w:p>
            <w:pPr>
              <w:pStyle w:val="84"/>
              <w:spacing w:line="480" w:lineRule="auto"/>
              <w:jc w:val="center"/>
              <w:rPr>
                <w:sz w:val="21"/>
                <w:szCs w:val="21"/>
              </w:rPr>
            </w:pPr>
          </w:p>
        </w:tc>
      </w:tr>
      <w:tr>
        <w:tblPrEx>
          <w:tblCellMar>
            <w:top w:w="0" w:type="dxa"/>
            <w:left w:w="108" w:type="dxa"/>
            <w:bottom w:w="0" w:type="dxa"/>
            <w:right w:w="108" w:type="dxa"/>
          </w:tblCellMar>
        </w:tblPrEx>
        <w:trPr>
          <w:trHeight w:val="315" w:hRule="atLeast"/>
          <w:jc w:val="center"/>
        </w:trPr>
        <w:tc>
          <w:tcPr>
            <w:tcW w:w="1188" w:type="dxa"/>
            <w:tcBorders>
              <w:top w:val="single" w:color="000000" w:sz="8" w:space="0"/>
              <w:left w:val="double" w:color="000000" w:sz="8" w:space="0"/>
              <w:bottom w:val="single" w:color="000000" w:sz="8" w:space="0"/>
              <w:right w:val="single" w:color="auto" w:sz="4" w:space="0"/>
            </w:tcBorders>
          </w:tcPr>
          <w:p>
            <w:pPr>
              <w:pStyle w:val="84"/>
              <w:spacing w:line="480" w:lineRule="auto"/>
              <w:jc w:val="center"/>
              <w:rPr>
                <w:sz w:val="21"/>
                <w:szCs w:val="21"/>
              </w:rPr>
            </w:pPr>
          </w:p>
        </w:tc>
        <w:tc>
          <w:tcPr>
            <w:tcW w:w="1252"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47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99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2071"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120" w:type="dxa"/>
            <w:tcBorders>
              <w:top w:val="single" w:color="000000" w:sz="8" w:space="0"/>
              <w:left w:val="single" w:color="auto" w:sz="4" w:space="0"/>
              <w:bottom w:val="single" w:color="000000" w:sz="8" w:space="0"/>
              <w:right w:val="single" w:color="auto" w:sz="6" w:space="0"/>
            </w:tcBorders>
          </w:tcPr>
          <w:p>
            <w:pPr>
              <w:pStyle w:val="84"/>
              <w:spacing w:line="480" w:lineRule="auto"/>
              <w:jc w:val="center"/>
              <w:rPr>
                <w:sz w:val="21"/>
                <w:szCs w:val="21"/>
              </w:rPr>
            </w:pPr>
          </w:p>
        </w:tc>
        <w:tc>
          <w:tcPr>
            <w:tcW w:w="1218" w:type="dxa"/>
            <w:tcBorders>
              <w:top w:val="single" w:color="000000" w:sz="8" w:space="0"/>
              <w:left w:val="single" w:color="auto" w:sz="6" w:space="0"/>
              <w:bottom w:val="single" w:color="000000" w:sz="8" w:space="0"/>
              <w:right w:val="single" w:color="000000" w:sz="8" w:space="0"/>
            </w:tcBorders>
          </w:tcPr>
          <w:p>
            <w:pPr>
              <w:pStyle w:val="84"/>
              <w:spacing w:line="480" w:lineRule="auto"/>
              <w:jc w:val="center"/>
              <w:rPr>
                <w:sz w:val="21"/>
                <w:szCs w:val="21"/>
              </w:rPr>
            </w:pPr>
          </w:p>
        </w:tc>
      </w:tr>
    </w:tbl>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r>
        <w:rPr>
          <w:rFonts w:hint="eastAsia" w:ascii="宋体" w:hAnsi="宋体"/>
          <w:b/>
          <w:sz w:val="24"/>
          <w:szCs w:val="21"/>
        </w:rPr>
        <w:t>7.预付款保函</w:t>
      </w:r>
    </w:p>
    <w:p>
      <w:pPr>
        <w:spacing w:line="340" w:lineRule="exact"/>
        <w:jc w:val="left"/>
        <w:rPr>
          <w:sz w:val="24"/>
        </w:rPr>
      </w:pPr>
    </w:p>
    <w:p>
      <w:pPr>
        <w:spacing w:line="440" w:lineRule="exact"/>
        <w:jc w:val="left"/>
        <w:rPr>
          <w:rFonts w:ascii="宋体" w:hAnsi="宋体"/>
          <w:szCs w:val="21"/>
        </w:rPr>
      </w:pPr>
      <w:r>
        <w:rPr>
          <w:rFonts w:hint="eastAsia" w:ascii="宋体" w:hAnsi="宋体"/>
          <w:szCs w:val="21"/>
        </w:rPr>
        <w:t>我行编号：</w:t>
      </w:r>
    </w:p>
    <w:p>
      <w:pPr>
        <w:spacing w:line="440" w:lineRule="exact"/>
        <w:jc w:val="left"/>
        <w:rPr>
          <w:rFonts w:ascii="宋体" w:hAnsi="宋体"/>
          <w:szCs w:val="21"/>
        </w:rPr>
      </w:pPr>
      <w:r>
        <w:rPr>
          <w:rFonts w:hint="eastAsia" w:ascii="宋体" w:hAnsi="宋体"/>
          <w:szCs w:val="21"/>
        </w:rPr>
        <w:t>开立日期：</w:t>
      </w:r>
    </w:p>
    <w:p>
      <w:pPr>
        <w:spacing w:line="440" w:lineRule="exact"/>
        <w:jc w:val="left"/>
        <w:rPr>
          <w:rFonts w:ascii="宋体" w:hAnsi="宋体"/>
          <w:szCs w:val="21"/>
        </w:rPr>
      </w:pPr>
    </w:p>
    <w:p>
      <w:pPr>
        <w:spacing w:line="440" w:lineRule="exact"/>
        <w:jc w:val="left"/>
        <w:rPr>
          <w:rFonts w:ascii="宋体" w:hAnsi="宋体"/>
          <w:szCs w:val="21"/>
        </w:rPr>
      </w:pPr>
      <w:r>
        <w:rPr>
          <w:rFonts w:hint="eastAsia" w:ascii="宋体" w:hAnsi="宋体"/>
          <w:szCs w:val="21"/>
        </w:rPr>
        <w:t>致：</w:t>
      </w:r>
    </w:p>
    <w:p>
      <w:pPr>
        <w:spacing w:line="440" w:lineRule="exact"/>
        <w:jc w:val="left"/>
        <w:rPr>
          <w:rFonts w:ascii="宋体" w:hAnsi="宋体"/>
          <w:szCs w:val="21"/>
        </w:rPr>
      </w:pPr>
    </w:p>
    <w:p>
      <w:pPr>
        <w:spacing w:line="440" w:lineRule="exact"/>
        <w:ind w:firstLine="465"/>
        <w:jc w:val="left"/>
        <w:rPr>
          <w:rFonts w:ascii="宋体" w:hAnsi="宋体"/>
          <w:szCs w:val="21"/>
        </w:rPr>
      </w:pPr>
      <w:r>
        <w:rPr>
          <w:rFonts w:hint="eastAsia" w:ascii="宋体" w:hAnsi="宋体"/>
          <w:szCs w:val="21"/>
        </w:rPr>
        <w:t>鉴于（以下简称“供方”）已与发包单位（以下简称“需方”）于xx年xx月xx日签署了（以下简称“合同”）</w:t>
      </w:r>
    </w:p>
    <w:p>
      <w:pPr>
        <w:spacing w:line="440" w:lineRule="exact"/>
        <w:ind w:firstLine="465"/>
        <w:jc w:val="left"/>
        <w:rPr>
          <w:rFonts w:ascii="宋体" w:hAnsi="宋体"/>
          <w:szCs w:val="21"/>
        </w:rPr>
      </w:pPr>
      <w:r>
        <w:rPr>
          <w:rFonts w:hint="eastAsia" w:ascii="宋体" w:hAnsi="宋体"/>
          <w:szCs w:val="21"/>
        </w:rPr>
        <w:t>需方在上述合同中要求供方向需方提交下述金额的银行保函，作为供方履行合同的保证金；地址：（以下简称“本银行”）同意为供方出具本保函；</w:t>
      </w:r>
    </w:p>
    <w:p>
      <w:pPr>
        <w:spacing w:line="440" w:lineRule="exact"/>
        <w:ind w:firstLine="420" w:firstLineChars="200"/>
        <w:jc w:val="left"/>
        <w:rPr>
          <w:rFonts w:ascii="宋体" w:hAnsi="宋体"/>
          <w:szCs w:val="21"/>
        </w:rPr>
      </w:pPr>
      <w:r>
        <w:rPr>
          <w:rFonts w:hint="eastAsia" w:ascii="宋体" w:hAnsi="宋体"/>
          <w:szCs w:val="21"/>
        </w:rPr>
        <w:t>本银行在此代表供方向需方承担支付累计总额不超过人民币</w:t>
      </w:r>
      <w:r>
        <w:rPr>
          <w:rFonts w:hint="eastAsia" w:ascii="宋体" w:hAnsi="宋体"/>
          <w:szCs w:val="21"/>
          <w:u w:val="single"/>
        </w:rPr>
        <w:t>元</w:t>
      </w:r>
      <w:r>
        <w:rPr>
          <w:rFonts w:hint="eastAsia" w:ascii="宋体" w:hAnsi="宋体"/>
          <w:szCs w:val="21"/>
        </w:rPr>
        <w:t>整（CNY）的责任，供方在履行合同中，由于资金、技术、质量、工期或非不可抗拒力等原因给需方造成经济损失时，在需方以书面形式提出要求得到上述金额内的任何付款时，凭本保函正本原件，本银行将在7个工作日内予以支付，不挑剔、不争辩，也不要求需方出具证明或说明背景、理由。</w:t>
      </w:r>
    </w:p>
    <w:p>
      <w:pPr>
        <w:spacing w:line="440" w:lineRule="exact"/>
        <w:ind w:firstLine="420" w:firstLineChars="200"/>
        <w:jc w:val="left"/>
        <w:rPr>
          <w:rFonts w:ascii="宋体" w:hAnsi="宋体"/>
          <w:szCs w:val="21"/>
        </w:rPr>
      </w:pPr>
      <w:r>
        <w:rPr>
          <w:rFonts w:hint="eastAsia" w:ascii="宋体" w:hAnsi="宋体"/>
          <w:szCs w:val="21"/>
        </w:rPr>
        <w:t>本银行放弃需方应先向供方要求赔偿上述金额后再向本银行提出要求的权利。</w:t>
      </w:r>
    </w:p>
    <w:p>
      <w:pPr>
        <w:spacing w:line="440" w:lineRule="exact"/>
        <w:jc w:val="left"/>
        <w:rPr>
          <w:rFonts w:ascii="宋体" w:hAnsi="宋体"/>
          <w:szCs w:val="21"/>
        </w:rPr>
      </w:pPr>
      <w:r>
        <w:rPr>
          <w:rFonts w:hint="eastAsia" w:ascii="宋体" w:hAnsi="宋体"/>
          <w:szCs w:val="21"/>
        </w:rPr>
        <w:t>本银行进一步同意在需方和供方之间的合同条件、合同项下的工程或合同发生变化、补充或修改后，本银行承担本保函的责任也不改变，有关上述变化，补充和修改也无须通知本银行。</w:t>
      </w:r>
    </w:p>
    <w:p>
      <w:pPr>
        <w:spacing w:line="440" w:lineRule="exact"/>
        <w:jc w:val="left"/>
        <w:rPr>
          <w:rFonts w:ascii="宋体" w:hAnsi="宋体"/>
          <w:szCs w:val="21"/>
        </w:rPr>
      </w:pPr>
      <w:r>
        <w:rPr>
          <w:rFonts w:hint="eastAsia" w:ascii="宋体" w:hAnsi="宋体"/>
          <w:szCs w:val="21"/>
        </w:rPr>
        <w:t>本保函自开立之日起生效，至</w:t>
      </w:r>
      <w:r>
        <w:rPr>
          <w:rFonts w:hint="eastAsia" w:ascii="宋体" w:hAnsi="宋体"/>
          <w:szCs w:val="21"/>
          <w:u w:val="single"/>
        </w:rPr>
        <w:t>xx年xx日</w:t>
      </w:r>
      <w:r>
        <w:rPr>
          <w:rFonts w:hint="eastAsia" w:ascii="宋体" w:hAnsi="宋体"/>
          <w:szCs w:val="21"/>
        </w:rPr>
        <w:t>失效。</w:t>
      </w:r>
    </w:p>
    <w:p>
      <w:pPr>
        <w:spacing w:line="440" w:lineRule="exact"/>
        <w:ind w:firstLine="569" w:firstLineChars="271"/>
        <w:jc w:val="left"/>
        <w:rPr>
          <w:rFonts w:ascii="宋体" w:hAnsi="宋体"/>
          <w:szCs w:val="21"/>
        </w:rPr>
      </w:pPr>
      <w:r>
        <w:rPr>
          <w:rFonts w:hint="eastAsia" w:ascii="宋体" w:hAnsi="宋体"/>
          <w:szCs w:val="21"/>
        </w:rPr>
        <w:t>未经我行书面同意，本保函不可转让。</w:t>
      </w:r>
    </w:p>
    <w:p>
      <w:pPr>
        <w:spacing w:line="440" w:lineRule="exact"/>
        <w:ind w:firstLine="465"/>
        <w:jc w:val="left"/>
        <w:rPr>
          <w:rFonts w:ascii="宋体" w:hAnsi="宋体"/>
          <w:szCs w:val="21"/>
        </w:rPr>
      </w:pPr>
    </w:p>
    <w:p>
      <w:pPr>
        <w:spacing w:line="340" w:lineRule="exact"/>
        <w:ind w:firstLine="465"/>
        <w:jc w:val="left"/>
        <w:rPr>
          <w:rFonts w:ascii="宋体" w:hAnsi="宋体"/>
          <w:szCs w:val="21"/>
        </w:rPr>
      </w:pPr>
    </w:p>
    <w:p>
      <w:pPr>
        <w:spacing w:line="480" w:lineRule="auto"/>
        <w:rPr>
          <w:rFonts w:ascii="宋体" w:hAnsi="宋体"/>
          <w:szCs w:val="21"/>
        </w:rPr>
      </w:pPr>
    </w:p>
    <w:p>
      <w:pPr>
        <w:spacing w:line="480" w:lineRule="auto"/>
        <w:rPr>
          <w:rFonts w:ascii="宋体" w:hAnsi="宋体"/>
          <w:szCs w:val="21"/>
        </w:rPr>
      </w:pPr>
    </w:p>
    <w:p>
      <w:pPr>
        <w:spacing w:line="480" w:lineRule="auto"/>
        <w:rPr>
          <w:rFonts w:ascii="宋体" w:hAnsi="宋体"/>
          <w:szCs w:val="21"/>
        </w:rPr>
      </w:pPr>
    </w:p>
    <w:p>
      <w:pPr>
        <w:spacing w:line="480" w:lineRule="auto"/>
        <w:rPr>
          <w:rFonts w:ascii="宋体" w:hAnsi="宋体"/>
          <w:szCs w:val="21"/>
        </w:rPr>
      </w:pPr>
    </w:p>
    <w:p>
      <w:pPr>
        <w:spacing w:line="480" w:lineRule="auto"/>
        <w:rPr>
          <w:szCs w:val="21"/>
        </w:rPr>
      </w:pPr>
    </w:p>
    <w:p>
      <w:pPr>
        <w:spacing w:line="480" w:lineRule="auto"/>
        <w:rPr>
          <w:szCs w:val="21"/>
        </w:rPr>
      </w:pPr>
    </w:p>
    <w:p>
      <w:pPr>
        <w:spacing w:line="480" w:lineRule="auto"/>
        <w:rPr>
          <w:szCs w:val="21"/>
        </w:rPr>
      </w:pPr>
    </w:p>
    <w:p>
      <w:pPr>
        <w:spacing w:line="480" w:lineRule="auto"/>
        <w:rPr>
          <w:szCs w:val="21"/>
        </w:rPr>
      </w:pPr>
    </w:p>
    <w:p>
      <w:pPr>
        <w:spacing w:line="480" w:lineRule="auto"/>
        <w:rPr>
          <w:szCs w:val="21"/>
        </w:rPr>
      </w:pPr>
    </w:p>
    <w:p>
      <w:pPr>
        <w:tabs>
          <w:tab w:val="left" w:pos="1620"/>
          <w:tab w:val="center" w:pos="4479"/>
        </w:tabs>
        <w:snapToGrid w:val="0"/>
        <w:spacing w:line="460" w:lineRule="exact"/>
        <w:jc w:val="center"/>
        <w:rPr>
          <w:rFonts w:ascii="宋体" w:hAnsi="宋体"/>
          <w:b/>
          <w:sz w:val="24"/>
          <w:szCs w:val="21"/>
        </w:rPr>
      </w:pPr>
      <w:r>
        <w:rPr>
          <w:rFonts w:ascii="宋体" w:hAnsi="宋体"/>
          <w:b/>
          <w:sz w:val="24"/>
          <w:szCs w:val="21"/>
        </w:rPr>
        <w:t>8</w:t>
      </w:r>
      <w:r>
        <w:rPr>
          <w:rFonts w:hint="eastAsia" w:ascii="宋体" w:hAnsi="宋体"/>
          <w:b/>
          <w:sz w:val="24"/>
          <w:szCs w:val="21"/>
        </w:rPr>
        <w:t>.供应商合规承诺书</w:t>
      </w:r>
    </w:p>
    <w:p>
      <w:pPr>
        <w:spacing w:line="440" w:lineRule="exact"/>
        <w:ind w:firstLine="420" w:firstLineChars="200"/>
        <w:jc w:val="left"/>
        <w:rPr>
          <w:rFonts w:ascii="宋体" w:hAnsi="宋体"/>
          <w:szCs w:val="21"/>
        </w:rPr>
      </w:pPr>
      <w:r>
        <w:rPr>
          <w:rFonts w:hint="eastAsia" w:ascii="宋体" w:hAnsi="宋体"/>
          <w:szCs w:val="21"/>
        </w:rPr>
        <w:t>_______________公司：</w:t>
      </w:r>
    </w:p>
    <w:p>
      <w:pPr>
        <w:spacing w:line="440" w:lineRule="exact"/>
        <w:ind w:firstLine="420" w:firstLineChars="200"/>
        <w:jc w:val="left"/>
        <w:rPr>
          <w:rFonts w:ascii="宋体" w:hAnsi="宋体"/>
          <w:szCs w:val="21"/>
        </w:rPr>
      </w:pPr>
      <w:r>
        <w:rPr>
          <w:rFonts w:hint="eastAsia" w:ascii="宋体" w:hAnsi="宋体"/>
          <w:szCs w:val="21"/>
        </w:rPr>
        <w:t>鉴于合作过程中发生的任何不正当行为都有可能造成贵司严重经营风险，甚至带来严重的民事责任和刑事处罚。</w:t>
      </w:r>
    </w:p>
    <w:p>
      <w:pPr>
        <w:spacing w:line="440" w:lineRule="exact"/>
        <w:ind w:firstLine="420" w:firstLineChars="200"/>
        <w:jc w:val="left"/>
        <w:rPr>
          <w:rFonts w:ascii="宋体" w:hAnsi="宋体"/>
          <w:szCs w:val="21"/>
        </w:rPr>
      </w:pPr>
      <w:r>
        <w:rPr>
          <w:rFonts w:hint="eastAsia" w:ascii="宋体" w:hAnsi="宋体"/>
          <w:szCs w:val="21"/>
        </w:rPr>
        <w:t>我公司在与贵司合作过程中，严格遵守、执行中国法律法规（包括本公司所在国国家或地区的所有法律、政策），为此本公司作以下承诺：</w:t>
      </w:r>
    </w:p>
    <w:p>
      <w:pPr>
        <w:spacing w:line="440" w:lineRule="exact"/>
        <w:ind w:firstLine="420" w:firstLineChars="200"/>
        <w:jc w:val="left"/>
        <w:rPr>
          <w:rFonts w:ascii="宋体" w:hAnsi="宋体"/>
          <w:szCs w:val="21"/>
        </w:rPr>
      </w:pPr>
      <w:r>
        <w:rPr>
          <w:rFonts w:hint="eastAsia" w:ascii="宋体" w:hAnsi="宋体"/>
          <w:szCs w:val="21"/>
        </w:rPr>
        <w:t>（一）严格遵守贵司《合规经营制度》，并把合规经营每一要求落实到该项目合作的每一环节，坚决不做违反合规经营要求的事项；</w:t>
      </w:r>
    </w:p>
    <w:p>
      <w:pPr>
        <w:spacing w:line="440" w:lineRule="exact"/>
        <w:ind w:firstLine="420" w:firstLineChars="200"/>
        <w:jc w:val="left"/>
        <w:rPr>
          <w:rFonts w:ascii="宋体" w:hAnsi="宋体"/>
          <w:szCs w:val="21"/>
        </w:rPr>
      </w:pPr>
      <w:r>
        <w:rPr>
          <w:rFonts w:hint="eastAsia" w:ascii="宋体" w:hAnsi="宋体"/>
          <w:szCs w:val="21"/>
        </w:rPr>
        <w:t>（二）不利用职务便利通过各种方式为本公司或他人谋取不正当利益而损害贵司利益；</w:t>
      </w:r>
    </w:p>
    <w:p>
      <w:pPr>
        <w:spacing w:line="440" w:lineRule="exact"/>
        <w:ind w:firstLine="420" w:firstLineChars="200"/>
        <w:jc w:val="left"/>
        <w:rPr>
          <w:rFonts w:ascii="宋体" w:hAnsi="宋体"/>
          <w:szCs w:val="21"/>
        </w:rPr>
      </w:pPr>
      <w:r>
        <w:rPr>
          <w:rFonts w:hint="eastAsia" w:ascii="宋体" w:hAnsi="宋体"/>
          <w:szCs w:val="21"/>
        </w:rPr>
        <w:t>（三）不以谋取非正当利益为目的，擅自与贵司工作人员个人就业务问题进行私下商谈或者达成利益默契；</w:t>
      </w:r>
    </w:p>
    <w:p>
      <w:pPr>
        <w:spacing w:line="440" w:lineRule="exact"/>
        <w:ind w:firstLine="420" w:firstLineChars="200"/>
        <w:jc w:val="left"/>
        <w:rPr>
          <w:rFonts w:ascii="宋体" w:hAnsi="宋体"/>
          <w:szCs w:val="21"/>
        </w:rPr>
      </w:pPr>
      <w:r>
        <w:rPr>
          <w:rFonts w:hint="eastAsia" w:ascii="宋体" w:hAnsi="宋体"/>
          <w:szCs w:val="21"/>
        </w:rPr>
        <w:t>（四）不以任何理由向贵司工作人员个人赠送红包、礼金、购物卡、有价证券、贵重物品、感谢费和好处费等非正当利益；</w:t>
      </w:r>
    </w:p>
    <w:p>
      <w:pPr>
        <w:spacing w:line="440" w:lineRule="exact"/>
        <w:ind w:firstLine="420" w:firstLineChars="200"/>
        <w:jc w:val="left"/>
        <w:rPr>
          <w:rFonts w:ascii="宋体" w:hAnsi="宋体"/>
          <w:szCs w:val="21"/>
        </w:rPr>
      </w:pPr>
      <w:r>
        <w:rPr>
          <w:rFonts w:hint="eastAsia" w:ascii="宋体" w:hAnsi="宋体"/>
          <w:szCs w:val="21"/>
        </w:rPr>
        <w:t>（五）不以任何理由给贵司工作人员个人送回扣；</w:t>
      </w:r>
    </w:p>
    <w:p>
      <w:pPr>
        <w:spacing w:line="440" w:lineRule="exact"/>
        <w:ind w:firstLine="420" w:firstLineChars="200"/>
        <w:jc w:val="left"/>
        <w:rPr>
          <w:rFonts w:ascii="宋体" w:hAnsi="宋体"/>
          <w:szCs w:val="21"/>
        </w:rPr>
      </w:pPr>
      <w:r>
        <w:rPr>
          <w:rFonts w:hint="eastAsia" w:ascii="宋体" w:hAnsi="宋体"/>
          <w:szCs w:val="21"/>
        </w:rPr>
        <w:t>（六）不向贵司工作人员个人在装修住房、婚丧嫁娶、配偶子女的工作安排以及境内外旅游等赠送好处或提供方便；</w:t>
      </w:r>
    </w:p>
    <w:p>
      <w:pPr>
        <w:spacing w:line="440" w:lineRule="exact"/>
        <w:ind w:firstLine="420" w:firstLineChars="200"/>
        <w:jc w:val="left"/>
        <w:rPr>
          <w:rFonts w:ascii="宋体" w:hAnsi="宋体"/>
          <w:szCs w:val="21"/>
        </w:rPr>
      </w:pPr>
      <w:r>
        <w:rPr>
          <w:rFonts w:hint="eastAsia" w:ascii="宋体" w:hAnsi="宋体"/>
          <w:szCs w:val="21"/>
        </w:rPr>
        <w:t>（七）不主动邀请贵司工作人员出入高级娱乐场所或进行宴请；</w:t>
      </w:r>
    </w:p>
    <w:p>
      <w:pPr>
        <w:spacing w:line="440" w:lineRule="exact"/>
        <w:ind w:firstLine="420" w:firstLineChars="200"/>
        <w:jc w:val="left"/>
        <w:rPr>
          <w:rFonts w:ascii="宋体" w:hAnsi="宋体"/>
          <w:szCs w:val="21"/>
        </w:rPr>
      </w:pPr>
      <w:r>
        <w:rPr>
          <w:rFonts w:hint="eastAsia" w:ascii="宋体" w:hAnsi="宋体"/>
          <w:szCs w:val="21"/>
        </w:rPr>
        <w:t>（八）不以任何理由为贵司工作人员个人报销应由贵司支付的费用；</w:t>
      </w:r>
    </w:p>
    <w:p>
      <w:pPr>
        <w:spacing w:line="440" w:lineRule="exact"/>
        <w:ind w:firstLine="420" w:firstLineChars="200"/>
        <w:jc w:val="left"/>
        <w:rPr>
          <w:rFonts w:ascii="宋体" w:hAnsi="宋体"/>
          <w:szCs w:val="21"/>
        </w:rPr>
      </w:pPr>
      <w:r>
        <w:rPr>
          <w:rFonts w:hint="eastAsia" w:ascii="宋体" w:hAnsi="宋体"/>
          <w:szCs w:val="21"/>
        </w:rPr>
        <w:t>（九）如有发现贵司工作人员向本公司索要红包、礼品、回扣等情况，将主动向贵司举报；</w:t>
      </w:r>
    </w:p>
    <w:p>
      <w:pPr>
        <w:spacing w:line="440" w:lineRule="exact"/>
        <w:ind w:firstLine="420" w:firstLineChars="200"/>
        <w:jc w:val="left"/>
        <w:rPr>
          <w:rFonts w:ascii="宋体" w:hAnsi="宋体"/>
          <w:szCs w:val="21"/>
        </w:rPr>
      </w:pPr>
      <w:r>
        <w:rPr>
          <w:rFonts w:hint="eastAsia" w:ascii="宋体" w:hAnsi="宋体"/>
          <w:szCs w:val="21"/>
        </w:rPr>
        <w:t>（十）不发生其他任何违反中国、本公司所在国国家或地区的所有法律法规、政策行为；</w:t>
      </w:r>
    </w:p>
    <w:p>
      <w:pPr>
        <w:spacing w:line="440" w:lineRule="exact"/>
        <w:ind w:firstLine="420" w:firstLineChars="200"/>
        <w:jc w:val="left"/>
        <w:rPr>
          <w:rFonts w:ascii="宋体" w:hAnsi="宋体"/>
          <w:szCs w:val="21"/>
        </w:rPr>
      </w:pPr>
      <w:r>
        <w:rPr>
          <w:rFonts w:hint="eastAsia" w:ascii="宋体" w:hAnsi="宋体"/>
          <w:szCs w:val="21"/>
        </w:rPr>
        <w:t>（十一）如本公司在该项目合作中发生上述违法违规、违反政策行为，均属本公司自身行为，一切责任由本公司商承担，与贵司无任何关联，本公司自愿接受中国、本公司所在国国家或地区法律处罚，并自愿赔偿给贵司所造成的一切损失。</w:t>
      </w:r>
    </w:p>
    <w:p>
      <w:pPr>
        <w:spacing w:line="440" w:lineRule="exact"/>
        <w:ind w:firstLine="420" w:firstLineChars="200"/>
        <w:jc w:val="left"/>
        <w:rPr>
          <w:rFonts w:ascii="宋体" w:hAnsi="宋体"/>
          <w:szCs w:val="21"/>
        </w:rPr>
      </w:pPr>
      <w:r>
        <w:rPr>
          <w:rFonts w:hint="eastAsia" w:ascii="宋体" w:hAnsi="宋体"/>
          <w:szCs w:val="21"/>
        </w:rPr>
        <w:t>（十二）本《合规承诺书》一式两份，一份交贵司，一份自留备查。</w:t>
      </w:r>
    </w:p>
    <w:p>
      <w:pPr>
        <w:spacing w:line="440" w:lineRule="exact"/>
        <w:ind w:firstLine="420" w:firstLineChars="200"/>
        <w:jc w:val="left"/>
        <w:rPr>
          <w:rFonts w:ascii="宋体" w:hAnsi="宋体"/>
          <w:szCs w:val="21"/>
        </w:rPr>
      </w:pPr>
      <w:r>
        <w:rPr>
          <w:rFonts w:hint="eastAsia" w:ascii="宋体" w:hAnsi="宋体"/>
          <w:szCs w:val="21"/>
        </w:rPr>
        <w:t>承诺方：</w:t>
      </w:r>
    </w:p>
    <w:p>
      <w:pPr>
        <w:spacing w:line="440" w:lineRule="exact"/>
        <w:ind w:firstLine="420" w:firstLineChars="200"/>
        <w:jc w:val="left"/>
        <w:rPr>
          <w:rFonts w:ascii="宋体" w:hAnsi="宋体"/>
          <w:szCs w:val="21"/>
        </w:rPr>
      </w:pPr>
      <w:r>
        <w:rPr>
          <w:rFonts w:hint="eastAsia" w:ascii="宋体" w:hAnsi="宋体"/>
          <w:szCs w:val="21"/>
        </w:rPr>
        <w:t xml:space="preserve">地 址： </w:t>
      </w:r>
    </w:p>
    <w:p>
      <w:pPr>
        <w:spacing w:line="440" w:lineRule="exact"/>
        <w:ind w:firstLine="420" w:firstLineChars="200"/>
        <w:jc w:val="left"/>
        <w:rPr>
          <w:rFonts w:ascii="宋体" w:hAnsi="宋体"/>
          <w:szCs w:val="21"/>
        </w:rPr>
      </w:pPr>
      <w:r>
        <w:rPr>
          <w:rFonts w:hint="eastAsia" w:ascii="宋体" w:hAnsi="宋体"/>
          <w:szCs w:val="21"/>
        </w:rPr>
        <w:t>年 月  日</w:t>
      </w:r>
    </w:p>
    <w:p>
      <w:pPr>
        <w:spacing w:line="440" w:lineRule="exact"/>
        <w:ind w:firstLine="420" w:firstLineChars="200"/>
        <w:jc w:val="left"/>
        <w:rPr>
          <w:rFonts w:ascii="宋体" w:hAnsi="宋体"/>
          <w:szCs w:val="21"/>
        </w:rPr>
      </w:pPr>
    </w:p>
    <w:sectPr>
      <w:headerReference r:id="rId10" w:type="first"/>
      <w:footerReference r:id="rId13" w:type="first"/>
      <w:headerReference r:id="rId9" w:type="default"/>
      <w:footerReference r:id="rId11" w:type="default"/>
      <w:footerReference r:id="rId12" w:type="even"/>
      <w:pgSz w:w="11906" w:h="16838"/>
      <w:pgMar w:top="1440" w:right="1274" w:bottom="1440" w:left="1797"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Calibri Light">
    <w:panose1 w:val="020F0302020204030204"/>
    <w:charset w:val="00"/>
    <w:family w:val="swiss"/>
    <w:pitch w:val="default"/>
    <w:sig w:usb0="A00002EF" w:usb1="4000207B"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19</w:t>
    </w:r>
    <w:r>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rPr>
        <w:rStyle w:val="38"/>
      </w:rPr>
    </w:pPr>
    <w:r>
      <w:rPr>
        <w:rStyle w:val="38"/>
        <w:rFonts w:hint="eastAsia"/>
      </w:rPr>
      <w:t>第</w:t>
    </w:r>
    <w:r>
      <w:fldChar w:fldCharType="begin"/>
    </w:r>
    <w:r>
      <w:rPr>
        <w:rStyle w:val="38"/>
      </w:rPr>
      <w:instrText xml:space="preserve"> PAGE </w:instrText>
    </w:r>
    <w:r>
      <w:fldChar w:fldCharType="separate"/>
    </w:r>
    <w:r>
      <w:rPr>
        <w:rStyle w:val="38"/>
      </w:rPr>
      <w:t>24</w:t>
    </w:r>
    <w:r>
      <w:fldChar w:fldCharType="end"/>
    </w:r>
    <w:r>
      <w:rPr>
        <w:rStyle w:val="38"/>
        <w:rFonts w:hint="eastAsia"/>
      </w:rPr>
      <w:t xml:space="preserve">页                                  </w:t>
    </w:r>
  </w:p>
  <w:p>
    <w:pPr>
      <w:pStyle w:val="22"/>
      <w:framePr w:wrap="around" w:vAnchor="text" w:hAnchor="margin" w:xAlign="right" w:y="1"/>
      <w:ind w:right="360"/>
      <w:rPr>
        <w:rStyle w:val="38"/>
      </w:rPr>
    </w:pPr>
  </w:p>
  <w:p>
    <w:pPr>
      <w:pStyle w:val="22"/>
      <w:framePr w:wrap="around" w:vAnchor="text" w:hAnchor="margin" w:xAlign="right" w:y="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8"/>
      </w:rPr>
    </w:pPr>
    <w:r>
      <w:fldChar w:fldCharType="begin"/>
    </w:r>
    <w:r>
      <w:rPr>
        <w:rStyle w:val="38"/>
      </w:rPr>
      <w:instrText xml:space="preserve">PAGE  </w:instrText>
    </w:r>
    <w:r>
      <w:fldChar w:fldCharType="end"/>
    </w:r>
  </w:p>
  <w:p>
    <w:pPr>
      <w:pStyle w:val="2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rPr>
        <w:rFonts w:ascii="隶书" w:eastAsia="隶书"/>
        <w:sz w:val="21"/>
      </w:rPr>
    </w:pPr>
  </w:p>
  <w:p>
    <w:pPr>
      <w:pStyle w:val="22"/>
      <w:ind w:right="360"/>
      <w:jc w:val="center"/>
    </w:pPr>
    <w:r>
      <w:rPr>
        <w:rFonts w:ascii="隶书" w:eastAsia="隶书"/>
        <w:sz w:val="20"/>
      </w:rPr>
      <mc:AlternateContent>
        <mc:Choice Requires="wps">
          <w:drawing>
            <wp:anchor distT="0" distB="0" distL="114300" distR="114300" simplePos="0" relativeHeight="251664384" behindDoc="0" locked="0" layoutInCell="1" allowOverlap="1">
              <wp:simplePos x="0" y="0"/>
              <wp:positionH relativeFrom="column">
                <wp:posOffset>107950</wp:posOffset>
              </wp:positionH>
              <wp:positionV relativeFrom="paragraph">
                <wp:posOffset>3151505</wp:posOffset>
              </wp:positionV>
              <wp:extent cx="8959850" cy="0"/>
              <wp:effectExtent l="0" t="0" r="0" b="0"/>
              <wp:wrapNone/>
              <wp:docPr id="7" name="直线 22"/>
              <wp:cNvGraphicFramePr/>
              <a:graphic xmlns:a="http://schemas.openxmlformats.org/drawingml/2006/main">
                <a:graphicData uri="http://schemas.microsoft.com/office/word/2010/wordprocessingShape">
                  <wps:wsp>
                    <wps:cNvCnPr/>
                    <wps:spPr>
                      <a:xfrm>
                        <a:off x="0" y="0"/>
                        <a:ext cx="895985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2" o:spid="_x0000_s1026" o:spt="20" style="position:absolute;left:0pt;margin-left:8.5pt;margin-top:248.15pt;height:0pt;width:705.5pt;z-index:251664384;mso-width-relative:page;mso-height-relative:page;" filled="f" stroked="t" coordsize="21600,21600" o:gfxdata="UEsDBAoAAAAAAIdO4kAAAAAAAAAAAAAAAAAEAAAAZHJzL1BLAwQUAAAACACHTuJA1FwjIdcAAAAL&#10;AQAADwAAAGRycy9kb3ducmV2LnhtbE2PzU7DMBCE70i8g7VIXKrWaVq1JcTpAciNCwXEdRsvSUS8&#10;TmP3B56erVQJjjM7mv0mX59cpw40hNazgekkAUVcedtybeDttRyvQIWIbLHzTAa+KcC6uL7KMbP+&#10;yC902MRaSQmHDA00MfaZ1qFqyGGY+J5Ybp9+cBhFDrW2Ax6l3HU6TZKFdtiyfGiwp4eGqq/N3hkI&#10;5Tvtyp9RNUo+ZrWndPf4/ITG3N5Mk3tQkU7xLwxnfEGHQpi2fs82qE70UqZEA/O7xQzUOTBPV2Jt&#10;L5Yucv1/Q/ELUEsDBBQAAAAIAIdO4kAtDZ8c5QEAAN4DAAAOAAAAZHJzL2Uyb0RvYy54bWytU82O&#10;0zAQviPxDpbvNN1KhTZquoctywVBJeABpraTWPKfPN6mfRZegxMXHmdfg7GTLcty6YEcnLFn/M18&#10;34w3tydr2FFF1N41/GY250w54aV2XcO/fb1/s+IMEzgJxjvV8LNCfrt9/WozhFotfO+NVJERiMN6&#10;CA3vUwp1VaHolQWc+aAcOVsfLSTaxq6SEQZCt6ZazOdvq8FHGaIXCpFOd6OTT4jxGkDftlqonRcP&#10;Vrk0okZlIBEl7HVAvi3Vtq0S6XPbokrMNJyYprJSErIPea22G6i7CKHXYioBrinhBScL2lHSC9QO&#10;ErCHqP+BslpEj75NM+FtNRIpihCLm/kLbb70EFThQlJjuIiO/w9WfDruI9Oy4e84c2Cp4Y/ffzz+&#10;/MUWiyzOELCmmDu3j9MOwz5mpqc22vwnDuxUBD1fBFWnxAQdrtbL9WpJWosnX/XnYoiYPihvWTYa&#10;brTLXKGG40dMlIxCn0LysXFsaPh6uVgSHNDgtdRwMm2g4tF15S56o+W9NibfwNgd7kxkR8jNL1+m&#10;RLh/heUkO8B+jCuucSx6BfK9kyydA8ni6DXwXIJVkjOj6PFkiwChTqDNNZGU2rh8QZXRnHhmjUdV&#10;s3Xw8lzErvKO2l4qnkY0z9XzPdnPn+X2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RcIyHXAAAA&#10;CwEAAA8AAAAAAAAAAQAgAAAAIgAAAGRycy9kb3ducmV2LnhtbFBLAQIUABQAAAAIAIdO4kAtDZ8c&#10;5QEAAN4DAAAOAAAAAAAAAAEAIAAAACYBAABkcnMvZTJvRG9jLnhtbFBLBQYAAAAABgAGAFkBAAB9&#10;BQAAAAA=&#10;">
              <v:fill on="f" focussize="0,0"/>
              <v:stroke color="#000000" joinstyle="round"/>
              <v:imagedata o:title=""/>
              <o:lock v:ext="edit" aspectratio="f"/>
            </v:line>
          </w:pict>
        </mc:Fallback>
      </mc:AlternateContent>
    </w:r>
    <w:r>
      <w:rPr>
        <w:rStyle w:val="38"/>
        <w:rFonts w:hint="eastAsia"/>
        <w:sz w:val="21"/>
      </w:rPr>
      <w:t>第</w:t>
    </w:r>
    <w:r>
      <w:rPr>
        <w:sz w:val="21"/>
      </w:rPr>
      <w:fldChar w:fldCharType="begin"/>
    </w:r>
    <w:r>
      <w:rPr>
        <w:rStyle w:val="38"/>
        <w:sz w:val="21"/>
      </w:rPr>
      <w:instrText xml:space="preserve"> PAGE </w:instrText>
    </w:r>
    <w:r>
      <w:rPr>
        <w:sz w:val="21"/>
      </w:rPr>
      <w:fldChar w:fldCharType="separate"/>
    </w:r>
    <w:r>
      <w:rPr>
        <w:rStyle w:val="38"/>
        <w:sz w:val="21"/>
      </w:rPr>
      <w:t>23</w:t>
    </w:r>
    <w:r>
      <w:rPr>
        <w:sz w:val="21"/>
      </w:rPr>
      <w:fldChar w:fldCharType="end"/>
    </w:r>
    <w:r>
      <w:rPr>
        <w:rStyle w:val="38"/>
        <w:rFonts w:hint="eastAsia"/>
        <w:sz w:val="21"/>
      </w:rPr>
      <w:t>页</w:t>
    </w:r>
    <w:r>
      <w:rPr>
        <w:sz w:val="20"/>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2684780</wp:posOffset>
              </wp:positionV>
              <wp:extent cx="9067800" cy="0"/>
              <wp:effectExtent l="0" t="28575" r="0" b="28575"/>
              <wp:wrapNone/>
              <wp:docPr id="6" name="直线 21"/>
              <wp:cNvGraphicFramePr/>
              <a:graphic xmlns:a="http://schemas.openxmlformats.org/drawingml/2006/main">
                <a:graphicData uri="http://schemas.microsoft.com/office/word/2010/wordprocessingShape">
                  <wps:wsp>
                    <wps:cNvCnPr/>
                    <wps:spPr>
                      <a:xfrm>
                        <a:off x="0" y="0"/>
                        <a:ext cx="9067800" cy="0"/>
                      </a:xfrm>
                      <a:prstGeom prst="line">
                        <a:avLst/>
                      </a:prstGeom>
                      <a:ln w="57150" cap="flat" cmpd="thinThick">
                        <a:solidFill>
                          <a:srgbClr val="000000"/>
                        </a:solidFill>
                        <a:prstDash val="solid"/>
                        <a:headEnd type="none" w="med" len="med"/>
                        <a:tailEnd type="none" w="med" len="med"/>
                      </a:ln>
                      <a:effectLst/>
                    </wps:spPr>
                    <wps:bodyPr/>
                  </wps:wsp>
                </a:graphicData>
              </a:graphic>
            </wp:anchor>
          </w:drawing>
        </mc:Choice>
        <mc:Fallback>
          <w:pict>
            <v:line id="直线 21" o:spid="_x0000_s1026" o:spt="20" style="position:absolute;left:0pt;margin-left:0pt;margin-top:211.4pt;height:0pt;width:714pt;z-index:251663360;mso-width-relative:page;mso-height-relative:page;" filled="f" stroked="t" coordsize="21600,21600" o:gfxdata="UEsDBAoAAAAAAIdO4kAAAAAAAAAAAAAAAAAEAAAAZHJzL1BLAwQUAAAACACHTuJAm/mGdNgAAAAJ&#10;AQAADwAAAGRycy9kb3ducmV2LnhtbE2PzU7DMBCE75V4B2uRuFTUaahQFOL0UMGFA1J/DnBz4yWJ&#10;iNep7TaBp2crVWqPOzOana9YjrYTJ/ShdaRgPktAIFXOtFQr2G3fHjMQIWoyunOECn4xwLK8mxQ6&#10;N26gNZ42sRZcQiHXCpoY+1zKUDVodZi5Hom9b+etjnz6WhqvBy63nUyT5Fla3RJ/aHSPqwarn83R&#10;KjDrEF5XY/b39OHfD4fPbPo1bKdKPdzPkxcQEcd4DcN5Pk+Hkjft3ZFMEJ0CBokKFmnKAGd7kWYs&#10;7S+SLAt5S1D+A1BLAwQUAAAACACHTuJAgWEQS+sBAADlAwAADgAAAGRycy9lMm9Eb2MueG1srVNL&#10;btswEN0X6B0I7mvJBuKkguUs4qSbojXQ5ABjcmQR4Q8kY9ln6TW66qbHyTU6pBw3TTdeVAtqhhy+&#10;mfdmuLjeG812GKJytuXTSc0ZWuGkstuWP9zffbjiLCawErSz2PIDRn69fP9uMfgGZ653WmJgBGJj&#10;M/iW9yn5pqqi6NFAnDiPlg47FwwkcsO2kgEGQje6mtX1vBpckD44gTHS7mo85EfEcA6g6zolcOXE&#10;k0GbRtSAGhJRir3ykS9LtV2HIn3tuoiJ6ZYT01RWSkL2Jq/VcgHNNoDvlTiWAOeU8IaTAWUp6Qlq&#10;BQnYU1D/QBklgouuSxPhTDUSKYoQi2n9RptvPXgsXEjq6E+ix/8HK77s1oEp2fI5ZxYMNfz5+4/n&#10;n7/YbJrFGXxsKObGrsPRi34dMtN9F0z+Ewe2L4IeToLiPjFBmx/r+eVVTVqLl7Pqz0UfYvqEzrBs&#10;tFwrm7lCA7vPMVEyCn0JydvasqHlF5fTi4wHNHkddZxM46n61Ct7Tz18LBDRaSXvlNb5YgzbzY0O&#10;bAd5BsqXmRH8X2E51wpiP8aVo3E6egR5ayVLB0/qWHoUPFdiUHKmkd5QtggQmgRKnxNJqbXNF7BM&#10;6JFulnoUN1sbJw9F8yp71P1S8XFS83i99sl+/TqX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b&#10;+YZ02AAAAAkBAAAPAAAAAAAAAAEAIAAAACIAAABkcnMvZG93bnJldi54bWxQSwECFAAUAAAACACH&#10;TuJAgWEQS+sBAADlAwAADgAAAAAAAAABACAAAAAnAQAAZHJzL2Uyb0RvYy54bWxQSwUGAAAAAAYA&#10;BgBZAQAAhAUAAAAA&#10;">
              <v:fill on="f" focussize="0,0"/>
              <v:stroke weight="4.5pt" color="#000000" linestyle="thinThick" joinstyle="round"/>
              <v:imagedata o:title=""/>
              <o:lock v:ext="edit" aspectratio="f"/>
            </v:lin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2950845</wp:posOffset>
              </wp:positionV>
              <wp:extent cx="6800850" cy="27305"/>
              <wp:effectExtent l="0" t="19050" r="0" b="29845"/>
              <wp:wrapNone/>
              <wp:docPr id="5" name="直线 20"/>
              <wp:cNvGraphicFramePr/>
              <a:graphic xmlns:a="http://schemas.openxmlformats.org/drawingml/2006/main">
                <a:graphicData uri="http://schemas.microsoft.com/office/word/2010/wordprocessingShape">
                  <wps:wsp>
                    <wps:cNvCnPr/>
                    <wps:spPr>
                      <a:xfrm>
                        <a:off x="0" y="0"/>
                        <a:ext cx="6800850" cy="27305"/>
                      </a:xfrm>
                      <a:prstGeom prst="line">
                        <a:avLst/>
                      </a:prstGeom>
                      <a:ln w="38100" cap="flat" cmpd="dbl">
                        <a:solidFill>
                          <a:srgbClr val="000000"/>
                        </a:solidFill>
                        <a:prstDash val="solid"/>
                        <a:headEnd type="none" w="med" len="med"/>
                        <a:tailEnd type="none" w="med" len="med"/>
                      </a:ln>
                      <a:effectLst/>
                    </wps:spPr>
                    <wps:bodyPr/>
                  </wps:wsp>
                </a:graphicData>
              </a:graphic>
            </wp:anchor>
          </w:drawing>
        </mc:Choice>
        <mc:Fallback>
          <w:pict>
            <v:line id="直线 20" o:spid="_x0000_s1026" o:spt="20" style="position:absolute;left:0pt;margin-left:0pt;margin-top:232.35pt;height:2.15pt;width:535.5pt;z-index:251662336;mso-width-relative:page;mso-height-relative:page;" filled="f" stroked="t" coordsize="21600,21600" o:gfxdata="UEsDBAoAAAAAAIdO4kAAAAAAAAAAAAAAAAAEAAAAZHJzL1BLAwQUAAAACACHTuJAVqviTtYAAAAJ&#10;AQAADwAAAGRycy9kb3ducmV2LnhtbE2PzW7CMBCE75V4B2uReit2KgQljYNaJFSh9gLtAyzJkkTE&#10;6yhefvL2dU7tcWdGs99k67tr1ZX60Hi2kMwMKOLClw1XFn6+t08voIIgl9h6JgsDBVjnk4cM09Lf&#10;eE/Xg1QqlnBI0UIt0qVah6Imh2HmO+LonXzvUOLZV7rs8RbLXaufjVlohw3HDzV2tKmpOB8uzoKc&#10;zcfnO26HN3faSbUaCrfbfFn7OE3MKyihu/yFYcSP6JBHpqO/cBlUayEOEQvzxXwJarTNMonScZRW&#10;BnSe6f8L8l9QSwMEFAAAAAgAh07iQDO2tBrnAQAA4wMAAA4AAABkcnMvZTJvRG9jLnhtbK1TS27b&#10;MBDdF+gdCO5jyQ6cGoLlLOKkm6I10OYAY5KyCPAHDmPZZ+k1uuqmx8k1OqRcJ003XlQLaoYzfJz3&#10;OLO8PVjD9iqi9q7l00nNmXLCS+12LX/89nC14AwTOAnGO9Xyo0J+u3r/bjmERs18741UkRGIw2YI&#10;Le9TCk1VoeiVBZz4oBwFOx8tJHLjrpIRBkK3pprV9U01+ChD9EIh0u56DPITYrwE0HedFmrtxZNV&#10;Lo2oURlIRAl7HZCvSrVdp0T60nWoEjMtJ6aprHQJ2du8VqslNLsIodfiVAJcUsIbTha0o0vPUGtI&#10;wJ6i/gfKahE9+i5NhLfVSKQoQiym9RttvvYQVOFCUmM4i47/D1Z83m8i07Llc84cWHrw5+8/nn/+&#10;YrMizhCwoZw7t4kkVfYwbGJmeuiizX/iwA5F0ONZUHVITNDmzaKuF3PSWlBs9uG6nmfBq5fDIWL6&#10;qLxl2Wi50S7zhQb2nzCNqX9S8rZxbGj59WJaZ0yg7uvo1cm0gRjIrSmH0RstH7Qx+QjG3fbORLaH&#10;3AHlO9XwV1q+ZQ3Yj3klNPZGr0DeO8nSMZA2jkaC5xqskpwZRROUrdJFCbS5JJPoG5dLU6U/T0Rf&#10;pM3W1stjUbzKHr19Ue3Up7m5Xvtkv57N1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Wq+JO1gAA&#10;AAkBAAAPAAAAAAAAAAEAIAAAACIAAABkcnMvZG93bnJldi54bWxQSwECFAAUAAAACACHTuJAM7a0&#10;GucBAADjAwAADgAAAAAAAAABACAAAAAlAQAAZHJzL2Uyb0RvYy54bWxQSwUGAAAAAAYABgBZAQAA&#10;fgUAAAAA&#10;">
              <v:fill on="f" focussize="0,0"/>
              <v:stroke weight="3pt" color="#000000" linestyle="thinThin" joinstyle="round"/>
              <v:imagedata o:title=""/>
              <o:lock v:ext="edit" aspectratio="f"/>
            </v:lin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rPr>
        <w:rStyle w:val="38"/>
      </w:rPr>
    </w:pPr>
    <w:r>
      <w:rPr>
        <w:rStyle w:val="38"/>
        <w:rFonts w:hint="eastAsia"/>
      </w:rPr>
      <w:t>第</w:t>
    </w:r>
    <w:r>
      <w:fldChar w:fldCharType="begin"/>
    </w:r>
    <w:r>
      <w:rPr>
        <w:rStyle w:val="38"/>
      </w:rPr>
      <w:instrText xml:space="preserve"> PAGE </w:instrText>
    </w:r>
    <w:r>
      <w:fldChar w:fldCharType="separate"/>
    </w:r>
    <w:r>
      <w:rPr>
        <w:rStyle w:val="38"/>
      </w:rPr>
      <w:t>4</w:t>
    </w:r>
    <w:r>
      <w:fldChar w:fldCharType="end"/>
    </w:r>
    <w:r>
      <w:rPr>
        <w:rStyle w:val="38"/>
        <w:rFonts w:hint="eastAsia"/>
      </w:rPr>
      <w:t xml:space="preserve">页 </w:t>
    </w:r>
  </w:p>
  <w:p>
    <w:pPr>
      <w:pStyle w:val="22"/>
      <w:framePr w:wrap="around" w:vAnchor="text" w:hAnchor="margin" w:xAlign="right" w:y="1"/>
      <w:ind w:right="360"/>
      <w:rPr>
        <w:rStyle w:val="38"/>
      </w:rPr>
    </w:pPr>
  </w:p>
  <w:p>
    <w:pPr>
      <w:pStyle w:val="22"/>
      <w:framePr w:wrap="around" w:vAnchor="text" w:hAnchor="margin" w:xAlign="right" w:y="1"/>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8"/>
      </w:rPr>
    </w:pPr>
    <w:r>
      <w:fldChar w:fldCharType="begin"/>
    </w:r>
    <w:r>
      <w:rPr>
        <w:rStyle w:val="38"/>
      </w:rPr>
      <w:instrText xml:space="preserve">PAGE  </w:instrText>
    </w:r>
    <w:r>
      <w:fldChar w:fldCharType="end"/>
    </w:r>
  </w:p>
  <w:p>
    <w:pPr>
      <w:pStyle w:val="22"/>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rPr>
        <w:rFonts w:ascii="隶书" w:eastAsia="隶书"/>
        <w:sz w:val="21"/>
      </w:rPr>
    </w:pPr>
  </w:p>
  <w:p>
    <w:pPr>
      <w:pStyle w:val="22"/>
      <w:ind w:right="360"/>
      <w:jc w:val="center"/>
    </w:pPr>
    <w:r>
      <w:rPr>
        <w:rFonts w:ascii="隶书" w:eastAsia="隶书"/>
        <w:sz w:val="20"/>
      </w:rPr>
      <mc:AlternateContent>
        <mc:Choice Requires="wps">
          <w:drawing>
            <wp:anchor distT="0" distB="0" distL="114300" distR="114300" simplePos="0" relativeHeight="251661312" behindDoc="0" locked="0" layoutInCell="1" allowOverlap="1">
              <wp:simplePos x="0" y="0"/>
              <wp:positionH relativeFrom="column">
                <wp:posOffset>107950</wp:posOffset>
              </wp:positionH>
              <wp:positionV relativeFrom="paragraph">
                <wp:posOffset>3151505</wp:posOffset>
              </wp:positionV>
              <wp:extent cx="8959850" cy="0"/>
              <wp:effectExtent l="0" t="0" r="0" b="0"/>
              <wp:wrapNone/>
              <wp:docPr id="4" name="直线 8"/>
              <wp:cNvGraphicFramePr/>
              <a:graphic xmlns:a="http://schemas.openxmlformats.org/drawingml/2006/main">
                <a:graphicData uri="http://schemas.microsoft.com/office/word/2010/wordprocessingShape">
                  <wps:wsp>
                    <wps:cNvCnPr/>
                    <wps:spPr>
                      <a:xfrm>
                        <a:off x="0" y="0"/>
                        <a:ext cx="895985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8" o:spid="_x0000_s1026" o:spt="20" style="position:absolute;left:0pt;margin-left:8.5pt;margin-top:248.15pt;height:0pt;width:705.5pt;z-index:251661312;mso-width-relative:page;mso-height-relative:page;" filled="f" stroked="t" coordsize="21600,21600" o:gfxdata="UEsDBAoAAAAAAIdO4kAAAAAAAAAAAAAAAAAEAAAAZHJzL1BLAwQUAAAACACHTuJA1FwjIdcAAAAL&#10;AQAADwAAAGRycy9kb3ducmV2LnhtbE2PzU7DMBCE70i8g7VIXKrWaVq1JcTpAciNCwXEdRsvSUS8&#10;TmP3B56erVQJjjM7mv0mX59cpw40hNazgekkAUVcedtybeDttRyvQIWIbLHzTAa+KcC6uL7KMbP+&#10;yC902MRaSQmHDA00MfaZ1qFqyGGY+J5Ybp9+cBhFDrW2Ax6l3HU6TZKFdtiyfGiwp4eGqq/N3hkI&#10;5Tvtyp9RNUo+ZrWndPf4/ITG3N5Mk3tQkU7xLwxnfEGHQpi2fs82qE70UqZEA/O7xQzUOTBPV2Jt&#10;L5Yucv1/Q/ELUEsDBBQAAAAIAIdO4kD53yss5AEAAN0DAAAOAAAAZHJzL2Uyb0RvYy54bWytU82O&#10;0zAQviPxDpbvNN2KojZquoctywVBJeABpraTWPKfPN6mfRZegxMXHmdfg7GTLcty6YEcnLFn/M18&#10;34w3tydr2FFF1N41/GY250w54aV2XcO/fb1/s+IMEzgJxjvV8LNCfrt9/WozhFotfO+NVJERiMN6&#10;CA3vUwp1VaHolQWc+aAcOVsfLSTaxq6SEQZCt6ZazOfvqsFHGaIXCpFOd6OTT4jxGkDftlqonRcP&#10;Vrk0okZlIBEl7HVAvi3Vtq0S6XPbokrMNJyYprJSErIPea22G6i7CKHXYioBrinhBScL2lHSC9QO&#10;ErCHqP+BslpEj75NM+FtNRIpihCLm/kLbb70EFThQlJjuIiO/w9WfDruI9Oy4W85c2Cp4Y/ffzz+&#10;/MVWWZshYE0hd24fpx2GfcxET220+U8U2Knoeb7oqU6JCTpcrZfr1ZKkFk++6s/FEDF9UN6ybDTc&#10;aJepQg3Hj5goGYU+heRj49jQ8PVysSQ4oLlrqd9k2kC1o+vKXfRGy3ttTL6BsTvcmciOkHtfvkyJ&#10;cP8Ky0l2gP0YV1zjVPQK5HsnWToHUsXRY+C5BKskZ0bR28kWAUKdQJtrIim1cfmCKpM58cwaj6pm&#10;6+DluYhd5R11vVQ8TWgeq+d7sp+/yu1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1FwjIdcAAAAL&#10;AQAADwAAAAAAAAABACAAAAAiAAAAZHJzL2Rvd25yZXYueG1sUEsBAhQAFAAAAAgAh07iQPnfKyzk&#10;AQAA3QMAAA4AAAAAAAAAAQAgAAAAJgEAAGRycy9lMm9Eb2MueG1sUEsFBgAAAAAGAAYAWQEAAHwF&#10;AAAAAA==&#10;">
              <v:fill on="f" focussize="0,0"/>
              <v:stroke color="#000000" joinstyle="round"/>
              <v:imagedata o:title=""/>
              <o:lock v:ext="edit" aspectratio="f"/>
            </v:line>
          </w:pict>
        </mc:Fallback>
      </mc:AlternateContent>
    </w:r>
    <w:r>
      <w:rPr>
        <w:rStyle w:val="38"/>
        <w:rFonts w:hint="eastAsia"/>
        <w:sz w:val="21"/>
      </w:rPr>
      <w:t>第</w:t>
    </w:r>
    <w:r>
      <w:rPr>
        <w:sz w:val="21"/>
      </w:rPr>
      <w:fldChar w:fldCharType="begin"/>
    </w:r>
    <w:r>
      <w:rPr>
        <w:rStyle w:val="38"/>
        <w:sz w:val="21"/>
      </w:rPr>
      <w:instrText xml:space="preserve"> PAGE </w:instrText>
    </w:r>
    <w:r>
      <w:rPr>
        <w:sz w:val="21"/>
      </w:rPr>
      <w:fldChar w:fldCharType="separate"/>
    </w:r>
    <w:r>
      <w:rPr>
        <w:rStyle w:val="38"/>
        <w:sz w:val="21"/>
      </w:rPr>
      <w:t>0</w:t>
    </w:r>
    <w:r>
      <w:rPr>
        <w:sz w:val="21"/>
      </w:rPr>
      <w:fldChar w:fldCharType="end"/>
    </w:r>
    <w:r>
      <w:rPr>
        <w:rStyle w:val="38"/>
        <w:rFonts w:hint="eastAsia"/>
        <w:sz w:val="21"/>
      </w:rPr>
      <w:t>页</w:t>
    </w:r>
    <w:r>
      <w:rPr>
        <w:sz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2684780</wp:posOffset>
              </wp:positionV>
              <wp:extent cx="9067800" cy="0"/>
              <wp:effectExtent l="0" t="28575" r="0" b="28575"/>
              <wp:wrapNone/>
              <wp:docPr id="3" name="直线 7"/>
              <wp:cNvGraphicFramePr/>
              <a:graphic xmlns:a="http://schemas.openxmlformats.org/drawingml/2006/main">
                <a:graphicData uri="http://schemas.microsoft.com/office/word/2010/wordprocessingShape">
                  <wps:wsp>
                    <wps:cNvCnPr/>
                    <wps:spPr>
                      <a:xfrm>
                        <a:off x="0" y="0"/>
                        <a:ext cx="9067800" cy="0"/>
                      </a:xfrm>
                      <a:prstGeom prst="line">
                        <a:avLst/>
                      </a:prstGeom>
                      <a:ln w="57150" cap="flat" cmpd="thinThick">
                        <a:solidFill>
                          <a:srgbClr val="000000"/>
                        </a:solidFill>
                        <a:prstDash val="solid"/>
                        <a:headEnd type="none" w="med" len="med"/>
                        <a:tailEnd type="none" w="med" len="med"/>
                      </a:ln>
                      <a:effectLst/>
                    </wps:spPr>
                    <wps:bodyPr/>
                  </wps:wsp>
                </a:graphicData>
              </a:graphic>
            </wp:anchor>
          </w:drawing>
        </mc:Choice>
        <mc:Fallback>
          <w:pict>
            <v:line id="直线 7" o:spid="_x0000_s1026" o:spt="20" style="position:absolute;left:0pt;margin-left:0pt;margin-top:211.4pt;height:0pt;width:714pt;z-index:251660288;mso-width-relative:page;mso-height-relative:page;" filled="f" stroked="t" coordsize="21600,21600" o:gfxdata="UEsDBAoAAAAAAIdO4kAAAAAAAAAAAAAAAAAEAAAAZHJzL1BLAwQUAAAACACHTuJAm/mGdNgAAAAJ&#10;AQAADwAAAGRycy9kb3ducmV2LnhtbE2PzU7DMBCE75V4B2uRuFTUaahQFOL0UMGFA1J/DnBz4yWJ&#10;iNep7TaBp2crVWqPOzOana9YjrYTJ/ShdaRgPktAIFXOtFQr2G3fHjMQIWoyunOECn4xwLK8mxQ6&#10;N26gNZ42sRZcQiHXCpoY+1zKUDVodZi5Hom9b+etjnz6WhqvBy63nUyT5Fla3RJ/aHSPqwarn83R&#10;KjDrEF5XY/b39OHfD4fPbPo1bKdKPdzPkxcQEcd4DcN5Pk+Hkjft3ZFMEJ0CBokKFmnKAGd7kWYs&#10;7S+SLAt5S1D+A1BLAwQUAAAACACHTuJA66HGP+oBAADkAwAADgAAAGRycy9lMm9Eb2MueG1srVPN&#10;ctMwEL4zwztodCd2yrQpnjg9NJQLA5mhPMBGkmMN+hutGifPwmtw4sLj9DVYyW4o5ZIDPsi70urb&#10;/b5dLW8O1rC9iqi9a/l8VnOmnPBSu13Lv97fvbnmDBM4CcY71fKjQn6zev1qOYRGXfjeG6kiIxCH&#10;zRBa3qcUmqpC0SsLOPNBOTrsfLSQyI27SkYYCN2a6qKur6rBRxmiFwqRdtfjIZ8Q4zmAvuu0UGsv&#10;HqxyaUSNykAiStjrgHxVqu06JdLnrkOVmGk5MU1lpSRkb/NarZbQ7CKEXoupBDinhBecLGhHSU9Q&#10;a0jAHqL+B8pqET36Ls2Et9VIpChCLOb1C22+9BBU4UJSYziJjv8PVnzabyLTsuVvOXNgqeGP3388&#10;/vzFFlmbIWBDIbduEycPwyZmoocu2vwnCuxQ9Dye9FSHxARtvquvFtc1SS2ezqo/F0PE9EF5y7LR&#10;cqNdpgoN7D9iomQU+hSSt41jQ8svF/PLjAc0eB01nEwbqPjUa3dPLfxWINAbLe+0Mfkixt321kS2&#10;hzwC5cvMCP6vsJxrDdiPceVoHI5egXzvJEvHQOI4ehM8V2KV5MwoekLZIkBoEmhzTiSlNi5fUGVA&#10;J7pZ6lHcbG29PBbNq+xR80vF06Dm6Xruk/38ca5+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v5&#10;hnTYAAAACQEAAA8AAAAAAAAAAQAgAAAAIgAAAGRycy9kb3ducmV2LnhtbFBLAQIUABQAAAAIAIdO&#10;4kDrocY/6gEAAOQDAAAOAAAAAAAAAAEAIAAAACcBAABkcnMvZTJvRG9jLnhtbFBLBQYAAAAABgAG&#10;AFkBAACDBQAAAAA=&#10;">
              <v:fill on="f" focussize="0,0"/>
              <v:stroke weight="4.5pt" color="#000000" linestyle="thinThick" joinstyle="round"/>
              <v:imagedata o:title=""/>
              <o:lock v:ext="edit" aspectratio="f"/>
            </v:lin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2950845</wp:posOffset>
              </wp:positionV>
              <wp:extent cx="6800850" cy="27305"/>
              <wp:effectExtent l="0" t="19050" r="0" b="29845"/>
              <wp:wrapNone/>
              <wp:docPr id="2" name="直线 6"/>
              <wp:cNvGraphicFramePr/>
              <a:graphic xmlns:a="http://schemas.openxmlformats.org/drawingml/2006/main">
                <a:graphicData uri="http://schemas.microsoft.com/office/word/2010/wordprocessingShape">
                  <wps:wsp>
                    <wps:cNvCnPr/>
                    <wps:spPr>
                      <a:xfrm>
                        <a:off x="0" y="0"/>
                        <a:ext cx="6800850" cy="27305"/>
                      </a:xfrm>
                      <a:prstGeom prst="line">
                        <a:avLst/>
                      </a:prstGeom>
                      <a:ln w="38100" cap="flat" cmpd="dbl">
                        <a:solidFill>
                          <a:srgbClr val="000000"/>
                        </a:solidFill>
                        <a:prstDash val="solid"/>
                        <a:headEnd type="none" w="med" len="med"/>
                        <a:tailEnd type="none" w="med" len="med"/>
                      </a:ln>
                      <a:effectLst/>
                    </wps:spPr>
                    <wps:bodyPr/>
                  </wps:wsp>
                </a:graphicData>
              </a:graphic>
            </wp:anchor>
          </w:drawing>
        </mc:Choice>
        <mc:Fallback>
          <w:pict>
            <v:line id="直线 6" o:spid="_x0000_s1026" o:spt="20" style="position:absolute;left:0pt;margin-left:0pt;margin-top:232.35pt;height:2.15pt;width:535.5pt;z-index:251659264;mso-width-relative:page;mso-height-relative:page;" filled="f" stroked="t" coordsize="21600,21600" o:gfxdata="UEsDBAoAAAAAAIdO4kAAAAAAAAAAAAAAAAAEAAAAZHJzL1BLAwQUAAAACACHTuJAVqviTtYAAAAJ&#10;AQAADwAAAGRycy9kb3ducmV2LnhtbE2PzW7CMBCE75V4B2uReit2KgQljYNaJFSh9gLtAyzJkkTE&#10;6yhefvL2dU7tcWdGs99k67tr1ZX60Hi2kMwMKOLClw1XFn6+t08voIIgl9h6JgsDBVjnk4cM09Lf&#10;eE/Xg1QqlnBI0UIt0qVah6Imh2HmO+LonXzvUOLZV7rs8RbLXaufjVlohw3HDzV2tKmpOB8uzoKc&#10;zcfnO26HN3faSbUaCrfbfFn7OE3MKyihu/yFYcSP6JBHpqO/cBlUayEOEQvzxXwJarTNMonScZRW&#10;BnSe6f8L8l9QSwMEFAAAAAgAh07iQEwstovmAQAA4gMAAA4AAABkcnMvZTJvRG9jLnhtbK1TS44T&#10;MRDdI3EHy3vSnYwmRK10ZjFh2CCIBBygYrvTlvyTy5NOzsI1WLHhOHMNyu4mDMMmC3rhrrKfn+s9&#10;l9d3J2vYUUXU3rV8Pqs5U054qd2h5V+/PLxZcYYJnATjnWr5WSG/27x+tR5Coxa+90aqyIjEYTOE&#10;lvcphaaqUPTKAs58UI4WOx8tJErjoZIRBmK3plrU9bIafJQheqEQaXY7LvKJMV5D6LtOC7X14tEq&#10;l0bWqAwkkoS9Dsg3pdquUyJ96jpUiZmWk9JURjqE4n0eq80amkOE0GsxlQDXlPBCkwXt6NAL1RYS&#10;sMeo/6GyWkSPvksz4W01CimOkIp5/cKbzz0EVbSQ1RgupuP/oxUfj7vItGz5gjMHli786dv3px8/&#10;2TJ7MwRsCHLvdnHKMOxiFnrqos1/ksBOxc/zxU91SkzQ5HJV16tbslrQ2uLtTX2bOas/m0PE9F55&#10;y3LQcqNdlgsNHD9gGqG/IXnaODa0/GY1rzMnUPN1dOkU2kAC5N6UzeiNlg/amLwF42F/byI7Qm6A&#10;8k01/AXLp2wB+xFXljIMml6BfOckS+dA1jh6ETzXYJXkzCh6QDkqyATaXIMk+cZlalXacxKajR6t&#10;zdHey3NxvMoZXX1xbWrT3FvPc4qfP83N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ar4k7WAAAA&#10;CQEAAA8AAAAAAAAAAQAgAAAAIgAAAGRycy9kb3ducmV2LnhtbFBLAQIUABQAAAAIAIdO4kBMLLaL&#10;5gEAAOIDAAAOAAAAAAAAAAEAIAAAACUBAABkcnMvZTJvRG9jLnhtbFBLBQYAAAAABgAGAFkBAAB9&#10;BQAAAAA=&#10;">
              <v:fill on="f" focussize="0,0"/>
              <v:stroke weight="3pt" color="#000000" linestyle="thinThin" joinstyle="round"/>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t xml:space="preserve">第 </w:t>
                          </w:r>
                          <w:r>
                            <w:fldChar w:fldCharType="begin"/>
                          </w:r>
                          <w:r>
                            <w:instrText xml:space="preserve"> PAGE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17</w:t>
                    </w:r>
                    <w:r>
                      <w:fldChar w:fldCharType="end"/>
                    </w:r>
                    <w:r>
                      <w:t xml:space="preserve"> 页</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t xml:space="preserve">第 </w:t>
                          </w:r>
                          <w:r>
                            <w:fldChar w:fldCharType="begin"/>
                          </w:r>
                          <w:r>
                            <w:instrText xml:space="preserve"> PAGE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16</w:t>
                    </w:r>
                    <w:r>
                      <w:fldChar w:fldCharType="end"/>
                    </w:r>
                    <w:r>
                      <w:t xml:space="preserve"> 页</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t xml:space="preserve">第 </w:t>
                          </w:r>
                          <w:r>
                            <w:fldChar w:fldCharType="begin"/>
                          </w:r>
                          <w:r>
                            <w:instrText xml:space="preserve"> PAGE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19</w:t>
                    </w:r>
                    <w:r>
                      <w:fldChar w:fldCharType="end"/>
                    </w:r>
                    <w:r>
                      <w:t xml:space="preserve"> 页</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95D474"/>
    <w:multiLevelType w:val="singleLevel"/>
    <w:tmpl w:val="AD95D474"/>
    <w:lvl w:ilvl="0" w:tentative="0">
      <w:start w:val="5"/>
      <w:numFmt w:val="chineseCounting"/>
      <w:suff w:val="space"/>
      <w:lvlText w:val="第%1章"/>
      <w:lvlJc w:val="left"/>
      <w:rPr>
        <w:rFonts w:hint="eastAsia"/>
      </w:rPr>
    </w:lvl>
  </w:abstractNum>
  <w:abstractNum w:abstractNumId="1">
    <w:nsid w:val="51E500CF"/>
    <w:multiLevelType w:val="multilevel"/>
    <w:tmpl w:val="51E500CF"/>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AAB1229"/>
    <w:multiLevelType w:val="multilevel"/>
    <w:tmpl w:val="5AAB1229"/>
    <w:lvl w:ilvl="0" w:tentative="0">
      <w:start w:val="1"/>
      <w:numFmt w:val="decimal"/>
      <w:lvlText w:val="%1、"/>
      <w:lvlJc w:val="left"/>
      <w:pPr>
        <w:tabs>
          <w:tab w:val="left" w:pos="720"/>
        </w:tabs>
        <w:ind w:left="720" w:hanging="720"/>
      </w:pPr>
      <w:rPr>
        <w:rFonts w:hint="eastAsia"/>
      </w:rPr>
    </w:lvl>
    <w:lvl w:ilvl="1" w:tentative="0">
      <w:start w:val="1"/>
      <w:numFmt w:val="japaneseCounting"/>
      <w:lvlText w:val="%2、"/>
      <w:lvlJc w:val="left"/>
      <w:pPr>
        <w:tabs>
          <w:tab w:val="left" w:pos="900"/>
        </w:tabs>
        <w:ind w:left="900" w:hanging="48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5701A1A"/>
    <w:multiLevelType w:val="singleLevel"/>
    <w:tmpl w:val="75701A1A"/>
    <w:lvl w:ilvl="0" w:tentative="0">
      <w:start w:val="1"/>
      <w:numFmt w:val="decimal"/>
      <w:lvlText w:val="%1、"/>
      <w:legacy w:legacy="1" w:legacySpace="0" w:legacyIndent="420"/>
      <w:lvlJc w:val="left"/>
      <w:pPr>
        <w:ind w:left="990" w:hanging="420"/>
      </w:pPr>
      <w:rPr>
        <w:rFonts w:hint="eastAsia" w:ascii="宋体" w:eastAsia="宋体"/>
        <w:b w:val="0"/>
        <w:i w:val="0"/>
        <w:sz w:val="28"/>
        <w:u w:val="no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iYWQ0M2EwZjdkYjdmMWMwYzEwMWQ3ZThjZDJmNTIifQ=="/>
  </w:docVars>
  <w:rsids>
    <w:rsidRoot w:val="00376130"/>
    <w:rsid w:val="00004449"/>
    <w:rsid w:val="000054E9"/>
    <w:rsid w:val="00005551"/>
    <w:rsid w:val="0000714C"/>
    <w:rsid w:val="000079C0"/>
    <w:rsid w:val="000115A5"/>
    <w:rsid w:val="000155DF"/>
    <w:rsid w:val="000173BA"/>
    <w:rsid w:val="00021C1B"/>
    <w:rsid w:val="00023035"/>
    <w:rsid w:val="0002488B"/>
    <w:rsid w:val="00027B09"/>
    <w:rsid w:val="000319B3"/>
    <w:rsid w:val="0003246F"/>
    <w:rsid w:val="000325D6"/>
    <w:rsid w:val="00032E5E"/>
    <w:rsid w:val="00035D57"/>
    <w:rsid w:val="00035EA2"/>
    <w:rsid w:val="00040389"/>
    <w:rsid w:val="00041B52"/>
    <w:rsid w:val="00042B3B"/>
    <w:rsid w:val="00044805"/>
    <w:rsid w:val="00051134"/>
    <w:rsid w:val="0005369A"/>
    <w:rsid w:val="00053D3D"/>
    <w:rsid w:val="00054767"/>
    <w:rsid w:val="00055B8E"/>
    <w:rsid w:val="00056249"/>
    <w:rsid w:val="000619F7"/>
    <w:rsid w:val="000644E1"/>
    <w:rsid w:val="00065504"/>
    <w:rsid w:val="000718C4"/>
    <w:rsid w:val="000727BC"/>
    <w:rsid w:val="00077046"/>
    <w:rsid w:val="00081276"/>
    <w:rsid w:val="0008527D"/>
    <w:rsid w:val="00093340"/>
    <w:rsid w:val="00095B8B"/>
    <w:rsid w:val="000A0512"/>
    <w:rsid w:val="000A0871"/>
    <w:rsid w:val="000A252A"/>
    <w:rsid w:val="000A27AF"/>
    <w:rsid w:val="000A30E8"/>
    <w:rsid w:val="000A39BC"/>
    <w:rsid w:val="000A4040"/>
    <w:rsid w:val="000A6C57"/>
    <w:rsid w:val="000B0A9A"/>
    <w:rsid w:val="000B3049"/>
    <w:rsid w:val="000B34DA"/>
    <w:rsid w:val="000B5B0C"/>
    <w:rsid w:val="000B76DC"/>
    <w:rsid w:val="000C4580"/>
    <w:rsid w:val="000C6CFE"/>
    <w:rsid w:val="000D04D7"/>
    <w:rsid w:val="000D6808"/>
    <w:rsid w:val="000F2C59"/>
    <w:rsid w:val="0010705D"/>
    <w:rsid w:val="001077F1"/>
    <w:rsid w:val="00110896"/>
    <w:rsid w:val="0011376B"/>
    <w:rsid w:val="00114A45"/>
    <w:rsid w:val="00116D03"/>
    <w:rsid w:val="00121405"/>
    <w:rsid w:val="001250C2"/>
    <w:rsid w:val="00126714"/>
    <w:rsid w:val="00127887"/>
    <w:rsid w:val="00134040"/>
    <w:rsid w:val="00136C3E"/>
    <w:rsid w:val="00147F2E"/>
    <w:rsid w:val="00150C3A"/>
    <w:rsid w:val="00150E19"/>
    <w:rsid w:val="00153842"/>
    <w:rsid w:val="00153BF0"/>
    <w:rsid w:val="00161BC4"/>
    <w:rsid w:val="00165260"/>
    <w:rsid w:val="00165755"/>
    <w:rsid w:val="001661F7"/>
    <w:rsid w:val="001667AE"/>
    <w:rsid w:val="00170765"/>
    <w:rsid w:val="00171AEE"/>
    <w:rsid w:val="00173075"/>
    <w:rsid w:val="00175F9A"/>
    <w:rsid w:val="00177684"/>
    <w:rsid w:val="00177811"/>
    <w:rsid w:val="00180529"/>
    <w:rsid w:val="0018084F"/>
    <w:rsid w:val="001863DD"/>
    <w:rsid w:val="001866D9"/>
    <w:rsid w:val="00191BAF"/>
    <w:rsid w:val="001922A9"/>
    <w:rsid w:val="00192B28"/>
    <w:rsid w:val="00193956"/>
    <w:rsid w:val="0019457F"/>
    <w:rsid w:val="00194FFF"/>
    <w:rsid w:val="00197F97"/>
    <w:rsid w:val="001A2AD7"/>
    <w:rsid w:val="001B4E98"/>
    <w:rsid w:val="001D092B"/>
    <w:rsid w:val="001D235F"/>
    <w:rsid w:val="001D2592"/>
    <w:rsid w:val="001D295B"/>
    <w:rsid w:val="001D4565"/>
    <w:rsid w:val="001E00FC"/>
    <w:rsid w:val="001E6F78"/>
    <w:rsid w:val="001F165E"/>
    <w:rsid w:val="001F1D6B"/>
    <w:rsid w:val="001F5B51"/>
    <w:rsid w:val="001F6EC1"/>
    <w:rsid w:val="00201C44"/>
    <w:rsid w:val="0020267B"/>
    <w:rsid w:val="00202C3B"/>
    <w:rsid w:val="00203CFB"/>
    <w:rsid w:val="00204EA0"/>
    <w:rsid w:val="00206975"/>
    <w:rsid w:val="002073A2"/>
    <w:rsid w:val="002110CC"/>
    <w:rsid w:val="00212835"/>
    <w:rsid w:val="002147B6"/>
    <w:rsid w:val="00216689"/>
    <w:rsid w:val="00217DF6"/>
    <w:rsid w:val="002214AC"/>
    <w:rsid w:val="002219D3"/>
    <w:rsid w:val="0022277F"/>
    <w:rsid w:val="00224446"/>
    <w:rsid w:val="00224557"/>
    <w:rsid w:val="00227553"/>
    <w:rsid w:val="0022791C"/>
    <w:rsid w:val="00231963"/>
    <w:rsid w:val="00235F5C"/>
    <w:rsid w:val="00237951"/>
    <w:rsid w:val="002415C4"/>
    <w:rsid w:val="00242A8B"/>
    <w:rsid w:val="002545FF"/>
    <w:rsid w:val="00260CBB"/>
    <w:rsid w:val="002617D7"/>
    <w:rsid w:val="002628C8"/>
    <w:rsid w:val="0027723E"/>
    <w:rsid w:val="00281E78"/>
    <w:rsid w:val="00285028"/>
    <w:rsid w:val="002855F1"/>
    <w:rsid w:val="00286B37"/>
    <w:rsid w:val="00287C93"/>
    <w:rsid w:val="00291C09"/>
    <w:rsid w:val="0029295A"/>
    <w:rsid w:val="0029429C"/>
    <w:rsid w:val="002964AD"/>
    <w:rsid w:val="00296C23"/>
    <w:rsid w:val="002A0390"/>
    <w:rsid w:val="002A2551"/>
    <w:rsid w:val="002A35E1"/>
    <w:rsid w:val="002A38BD"/>
    <w:rsid w:val="002A4FE8"/>
    <w:rsid w:val="002A5E94"/>
    <w:rsid w:val="002B027D"/>
    <w:rsid w:val="002B059C"/>
    <w:rsid w:val="002B18E9"/>
    <w:rsid w:val="002B2B4A"/>
    <w:rsid w:val="002B5774"/>
    <w:rsid w:val="002B64FC"/>
    <w:rsid w:val="002C40AC"/>
    <w:rsid w:val="002C5004"/>
    <w:rsid w:val="002C5216"/>
    <w:rsid w:val="002C7423"/>
    <w:rsid w:val="002D01C9"/>
    <w:rsid w:val="002D4860"/>
    <w:rsid w:val="002D678B"/>
    <w:rsid w:val="002D6ECA"/>
    <w:rsid w:val="002E7B1A"/>
    <w:rsid w:val="002F2655"/>
    <w:rsid w:val="002F55E8"/>
    <w:rsid w:val="00304855"/>
    <w:rsid w:val="00312DA9"/>
    <w:rsid w:val="003142D9"/>
    <w:rsid w:val="0031451E"/>
    <w:rsid w:val="0031587B"/>
    <w:rsid w:val="0031690B"/>
    <w:rsid w:val="00336EE3"/>
    <w:rsid w:val="00342420"/>
    <w:rsid w:val="00344EEF"/>
    <w:rsid w:val="0034665C"/>
    <w:rsid w:val="003503B1"/>
    <w:rsid w:val="00350784"/>
    <w:rsid w:val="00351598"/>
    <w:rsid w:val="00354196"/>
    <w:rsid w:val="00354442"/>
    <w:rsid w:val="0036179F"/>
    <w:rsid w:val="0036564D"/>
    <w:rsid w:val="00367C64"/>
    <w:rsid w:val="00367E92"/>
    <w:rsid w:val="00374D8B"/>
    <w:rsid w:val="003755A5"/>
    <w:rsid w:val="00375C33"/>
    <w:rsid w:val="00376130"/>
    <w:rsid w:val="00377E9E"/>
    <w:rsid w:val="003851BA"/>
    <w:rsid w:val="003856CB"/>
    <w:rsid w:val="003856F7"/>
    <w:rsid w:val="00385B52"/>
    <w:rsid w:val="003861A2"/>
    <w:rsid w:val="00390CC8"/>
    <w:rsid w:val="00392D68"/>
    <w:rsid w:val="00393203"/>
    <w:rsid w:val="00397B73"/>
    <w:rsid w:val="003A031D"/>
    <w:rsid w:val="003A0A06"/>
    <w:rsid w:val="003A270C"/>
    <w:rsid w:val="003A3106"/>
    <w:rsid w:val="003A65C6"/>
    <w:rsid w:val="003B1452"/>
    <w:rsid w:val="003B4851"/>
    <w:rsid w:val="003B5F19"/>
    <w:rsid w:val="003B6FA0"/>
    <w:rsid w:val="003C2DEE"/>
    <w:rsid w:val="003C3596"/>
    <w:rsid w:val="003C3CCB"/>
    <w:rsid w:val="003C3D60"/>
    <w:rsid w:val="003C3E4D"/>
    <w:rsid w:val="003C3E94"/>
    <w:rsid w:val="003C4602"/>
    <w:rsid w:val="003C5539"/>
    <w:rsid w:val="003C6E06"/>
    <w:rsid w:val="003E224C"/>
    <w:rsid w:val="003E312B"/>
    <w:rsid w:val="003E352C"/>
    <w:rsid w:val="003E4516"/>
    <w:rsid w:val="003E6D26"/>
    <w:rsid w:val="003F11A4"/>
    <w:rsid w:val="003F15E9"/>
    <w:rsid w:val="003F5B4D"/>
    <w:rsid w:val="004000DB"/>
    <w:rsid w:val="00410852"/>
    <w:rsid w:val="0041349B"/>
    <w:rsid w:val="00417232"/>
    <w:rsid w:val="0042074B"/>
    <w:rsid w:val="00420F20"/>
    <w:rsid w:val="00423EE8"/>
    <w:rsid w:val="00424B62"/>
    <w:rsid w:val="00424DCA"/>
    <w:rsid w:val="00425CCE"/>
    <w:rsid w:val="00436433"/>
    <w:rsid w:val="00443394"/>
    <w:rsid w:val="004436D0"/>
    <w:rsid w:val="004441E3"/>
    <w:rsid w:val="00446327"/>
    <w:rsid w:val="00447DF1"/>
    <w:rsid w:val="004507DA"/>
    <w:rsid w:val="00453B48"/>
    <w:rsid w:val="0046199E"/>
    <w:rsid w:val="00470314"/>
    <w:rsid w:val="00471B92"/>
    <w:rsid w:val="00472876"/>
    <w:rsid w:val="00474ABC"/>
    <w:rsid w:val="00480230"/>
    <w:rsid w:val="00482CD0"/>
    <w:rsid w:val="00486A6B"/>
    <w:rsid w:val="00493F77"/>
    <w:rsid w:val="004A1128"/>
    <w:rsid w:val="004A3468"/>
    <w:rsid w:val="004A46DE"/>
    <w:rsid w:val="004A57B2"/>
    <w:rsid w:val="004A714B"/>
    <w:rsid w:val="004B1621"/>
    <w:rsid w:val="004B67F3"/>
    <w:rsid w:val="004C2F5F"/>
    <w:rsid w:val="004C3D13"/>
    <w:rsid w:val="004D68FF"/>
    <w:rsid w:val="004D6965"/>
    <w:rsid w:val="004D6F9A"/>
    <w:rsid w:val="004D7E56"/>
    <w:rsid w:val="004E1824"/>
    <w:rsid w:val="004E24F9"/>
    <w:rsid w:val="004E4F99"/>
    <w:rsid w:val="004F0F7F"/>
    <w:rsid w:val="004F1AF9"/>
    <w:rsid w:val="004F573F"/>
    <w:rsid w:val="00505D9C"/>
    <w:rsid w:val="00506D0C"/>
    <w:rsid w:val="00507615"/>
    <w:rsid w:val="00512B2E"/>
    <w:rsid w:val="005267DE"/>
    <w:rsid w:val="00532B44"/>
    <w:rsid w:val="00532BD3"/>
    <w:rsid w:val="00532FCE"/>
    <w:rsid w:val="00533B9F"/>
    <w:rsid w:val="00536F64"/>
    <w:rsid w:val="00550C50"/>
    <w:rsid w:val="00552E6C"/>
    <w:rsid w:val="00556DAA"/>
    <w:rsid w:val="00561B0D"/>
    <w:rsid w:val="00565EEA"/>
    <w:rsid w:val="00567A17"/>
    <w:rsid w:val="00571CC5"/>
    <w:rsid w:val="00573A0A"/>
    <w:rsid w:val="00573B75"/>
    <w:rsid w:val="00576E33"/>
    <w:rsid w:val="00577A7B"/>
    <w:rsid w:val="00583602"/>
    <w:rsid w:val="005860B8"/>
    <w:rsid w:val="00586CA4"/>
    <w:rsid w:val="0059088B"/>
    <w:rsid w:val="00593FC7"/>
    <w:rsid w:val="005A4752"/>
    <w:rsid w:val="005A687C"/>
    <w:rsid w:val="005A7D10"/>
    <w:rsid w:val="005B05A8"/>
    <w:rsid w:val="005B2E1A"/>
    <w:rsid w:val="005B58AE"/>
    <w:rsid w:val="005C2751"/>
    <w:rsid w:val="005D4A28"/>
    <w:rsid w:val="005D64CD"/>
    <w:rsid w:val="005E01F2"/>
    <w:rsid w:val="005E2A4D"/>
    <w:rsid w:val="005E2D0E"/>
    <w:rsid w:val="005E48DE"/>
    <w:rsid w:val="005F2FA1"/>
    <w:rsid w:val="005F35E3"/>
    <w:rsid w:val="005F3997"/>
    <w:rsid w:val="00601C2A"/>
    <w:rsid w:val="006024AE"/>
    <w:rsid w:val="0060250E"/>
    <w:rsid w:val="00603FB2"/>
    <w:rsid w:val="00605F2C"/>
    <w:rsid w:val="00612982"/>
    <w:rsid w:val="0061567F"/>
    <w:rsid w:val="006177E4"/>
    <w:rsid w:val="006204C2"/>
    <w:rsid w:val="00621B33"/>
    <w:rsid w:val="0062266A"/>
    <w:rsid w:val="006237BF"/>
    <w:rsid w:val="00623BBF"/>
    <w:rsid w:val="0062519D"/>
    <w:rsid w:val="00626DB7"/>
    <w:rsid w:val="00633BF5"/>
    <w:rsid w:val="006340E6"/>
    <w:rsid w:val="00634423"/>
    <w:rsid w:val="00641418"/>
    <w:rsid w:val="00641797"/>
    <w:rsid w:val="00642E1E"/>
    <w:rsid w:val="00645D4D"/>
    <w:rsid w:val="00653FB1"/>
    <w:rsid w:val="00657491"/>
    <w:rsid w:val="00660BF4"/>
    <w:rsid w:val="0066395B"/>
    <w:rsid w:val="006657BC"/>
    <w:rsid w:val="00666292"/>
    <w:rsid w:val="00666B69"/>
    <w:rsid w:val="00670028"/>
    <w:rsid w:val="006728EE"/>
    <w:rsid w:val="006758FE"/>
    <w:rsid w:val="006774B5"/>
    <w:rsid w:val="006837EA"/>
    <w:rsid w:val="00684354"/>
    <w:rsid w:val="00684439"/>
    <w:rsid w:val="00692B75"/>
    <w:rsid w:val="006969D5"/>
    <w:rsid w:val="00697F4F"/>
    <w:rsid w:val="006A3B00"/>
    <w:rsid w:val="006A5604"/>
    <w:rsid w:val="006B4AE6"/>
    <w:rsid w:val="006C336E"/>
    <w:rsid w:val="006C51EB"/>
    <w:rsid w:val="006C59CF"/>
    <w:rsid w:val="006C5FBB"/>
    <w:rsid w:val="006D2C53"/>
    <w:rsid w:val="006D69BF"/>
    <w:rsid w:val="006D77F0"/>
    <w:rsid w:val="006E0930"/>
    <w:rsid w:val="006E1CFC"/>
    <w:rsid w:val="006E3293"/>
    <w:rsid w:val="006E4A0E"/>
    <w:rsid w:val="006F2858"/>
    <w:rsid w:val="006F2C46"/>
    <w:rsid w:val="006F5AB3"/>
    <w:rsid w:val="0070164B"/>
    <w:rsid w:val="0070487C"/>
    <w:rsid w:val="00706D2B"/>
    <w:rsid w:val="00710978"/>
    <w:rsid w:val="00712ACD"/>
    <w:rsid w:val="00720AF1"/>
    <w:rsid w:val="00722127"/>
    <w:rsid w:val="00732939"/>
    <w:rsid w:val="007429D4"/>
    <w:rsid w:val="00745055"/>
    <w:rsid w:val="00747AD4"/>
    <w:rsid w:val="00752127"/>
    <w:rsid w:val="0075793E"/>
    <w:rsid w:val="00760E25"/>
    <w:rsid w:val="0076277A"/>
    <w:rsid w:val="007713A8"/>
    <w:rsid w:val="0077196D"/>
    <w:rsid w:val="00780E13"/>
    <w:rsid w:val="00786DEB"/>
    <w:rsid w:val="007A35BC"/>
    <w:rsid w:val="007A7AD0"/>
    <w:rsid w:val="007B7455"/>
    <w:rsid w:val="007B7CA2"/>
    <w:rsid w:val="007C0C33"/>
    <w:rsid w:val="007C3765"/>
    <w:rsid w:val="007C42A7"/>
    <w:rsid w:val="007C6A99"/>
    <w:rsid w:val="007C78F9"/>
    <w:rsid w:val="007D2119"/>
    <w:rsid w:val="007D495A"/>
    <w:rsid w:val="007D5B3F"/>
    <w:rsid w:val="007D617A"/>
    <w:rsid w:val="007E5C5F"/>
    <w:rsid w:val="007E655A"/>
    <w:rsid w:val="007F3274"/>
    <w:rsid w:val="007F34B0"/>
    <w:rsid w:val="007F584C"/>
    <w:rsid w:val="007F63C5"/>
    <w:rsid w:val="008014C3"/>
    <w:rsid w:val="00803699"/>
    <w:rsid w:val="008051BA"/>
    <w:rsid w:val="00810EF4"/>
    <w:rsid w:val="008148EF"/>
    <w:rsid w:val="008239EB"/>
    <w:rsid w:val="00832D4F"/>
    <w:rsid w:val="00833CA9"/>
    <w:rsid w:val="00840DC2"/>
    <w:rsid w:val="00846F53"/>
    <w:rsid w:val="00854319"/>
    <w:rsid w:val="00860D8B"/>
    <w:rsid w:val="00861103"/>
    <w:rsid w:val="00862230"/>
    <w:rsid w:val="00862B49"/>
    <w:rsid w:val="00862D61"/>
    <w:rsid w:val="00864FEF"/>
    <w:rsid w:val="008770DB"/>
    <w:rsid w:val="00877B7B"/>
    <w:rsid w:val="00882716"/>
    <w:rsid w:val="00883067"/>
    <w:rsid w:val="00885BC2"/>
    <w:rsid w:val="00886F63"/>
    <w:rsid w:val="00896039"/>
    <w:rsid w:val="00897EEE"/>
    <w:rsid w:val="008A1FF0"/>
    <w:rsid w:val="008A27A5"/>
    <w:rsid w:val="008B0342"/>
    <w:rsid w:val="008B0B33"/>
    <w:rsid w:val="008B0BF8"/>
    <w:rsid w:val="008B3639"/>
    <w:rsid w:val="008B5841"/>
    <w:rsid w:val="008C54ED"/>
    <w:rsid w:val="008C6865"/>
    <w:rsid w:val="008D4DE9"/>
    <w:rsid w:val="008D590D"/>
    <w:rsid w:val="008D6909"/>
    <w:rsid w:val="008E6536"/>
    <w:rsid w:val="008F1C0E"/>
    <w:rsid w:val="008F1EDC"/>
    <w:rsid w:val="008F1F5E"/>
    <w:rsid w:val="008F48B4"/>
    <w:rsid w:val="008F4EB8"/>
    <w:rsid w:val="0090052B"/>
    <w:rsid w:val="009009F8"/>
    <w:rsid w:val="00902AA1"/>
    <w:rsid w:val="00904F5F"/>
    <w:rsid w:val="00910F87"/>
    <w:rsid w:val="00914F7C"/>
    <w:rsid w:val="0091574B"/>
    <w:rsid w:val="0091725A"/>
    <w:rsid w:val="009220AF"/>
    <w:rsid w:val="00923BBE"/>
    <w:rsid w:val="0092415F"/>
    <w:rsid w:val="00924161"/>
    <w:rsid w:val="00927B0B"/>
    <w:rsid w:val="00930322"/>
    <w:rsid w:val="00930A76"/>
    <w:rsid w:val="00935FD7"/>
    <w:rsid w:val="00946142"/>
    <w:rsid w:val="009505CC"/>
    <w:rsid w:val="009538F1"/>
    <w:rsid w:val="0095642A"/>
    <w:rsid w:val="009613E4"/>
    <w:rsid w:val="00963538"/>
    <w:rsid w:val="009641A1"/>
    <w:rsid w:val="0097160B"/>
    <w:rsid w:val="00982927"/>
    <w:rsid w:val="00986692"/>
    <w:rsid w:val="009904AA"/>
    <w:rsid w:val="00992D80"/>
    <w:rsid w:val="0099333E"/>
    <w:rsid w:val="00997A03"/>
    <w:rsid w:val="009A0594"/>
    <w:rsid w:val="009A5A41"/>
    <w:rsid w:val="009B10A7"/>
    <w:rsid w:val="009B19E3"/>
    <w:rsid w:val="009B4E96"/>
    <w:rsid w:val="009C598C"/>
    <w:rsid w:val="009C64E5"/>
    <w:rsid w:val="009C793E"/>
    <w:rsid w:val="009D19D1"/>
    <w:rsid w:val="009D3FC9"/>
    <w:rsid w:val="009E546E"/>
    <w:rsid w:val="009E7C19"/>
    <w:rsid w:val="009F02D1"/>
    <w:rsid w:val="009F0DD4"/>
    <w:rsid w:val="009F2195"/>
    <w:rsid w:val="009F5769"/>
    <w:rsid w:val="00A006A5"/>
    <w:rsid w:val="00A03EC7"/>
    <w:rsid w:val="00A0446A"/>
    <w:rsid w:val="00A06CA8"/>
    <w:rsid w:val="00A101C1"/>
    <w:rsid w:val="00A107C1"/>
    <w:rsid w:val="00A14F7F"/>
    <w:rsid w:val="00A1604E"/>
    <w:rsid w:val="00A20AE5"/>
    <w:rsid w:val="00A20C01"/>
    <w:rsid w:val="00A21FA9"/>
    <w:rsid w:val="00A27255"/>
    <w:rsid w:val="00A31ADF"/>
    <w:rsid w:val="00A32F63"/>
    <w:rsid w:val="00A3506D"/>
    <w:rsid w:val="00A367DB"/>
    <w:rsid w:val="00A37583"/>
    <w:rsid w:val="00A40256"/>
    <w:rsid w:val="00A41129"/>
    <w:rsid w:val="00A4322C"/>
    <w:rsid w:val="00A4423E"/>
    <w:rsid w:val="00A46501"/>
    <w:rsid w:val="00A47356"/>
    <w:rsid w:val="00A509F5"/>
    <w:rsid w:val="00A5260E"/>
    <w:rsid w:val="00A57B2E"/>
    <w:rsid w:val="00A6014B"/>
    <w:rsid w:val="00A60A26"/>
    <w:rsid w:val="00A63688"/>
    <w:rsid w:val="00A65456"/>
    <w:rsid w:val="00A65681"/>
    <w:rsid w:val="00A67F11"/>
    <w:rsid w:val="00A71283"/>
    <w:rsid w:val="00A74033"/>
    <w:rsid w:val="00A80846"/>
    <w:rsid w:val="00A8260A"/>
    <w:rsid w:val="00A8387B"/>
    <w:rsid w:val="00A92592"/>
    <w:rsid w:val="00A93E85"/>
    <w:rsid w:val="00A945B0"/>
    <w:rsid w:val="00AA142C"/>
    <w:rsid w:val="00AA167D"/>
    <w:rsid w:val="00AA31FB"/>
    <w:rsid w:val="00AA4103"/>
    <w:rsid w:val="00AA5986"/>
    <w:rsid w:val="00AA6482"/>
    <w:rsid w:val="00AB0951"/>
    <w:rsid w:val="00AB0E4A"/>
    <w:rsid w:val="00AB146F"/>
    <w:rsid w:val="00AB23F4"/>
    <w:rsid w:val="00AB6034"/>
    <w:rsid w:val="00AC0898"/>
    <w:rsid w:val="00AC5DC8"/>
    <w:rsid w:val="00AD5544"/>
    <w:rsid w:val="00AD7208"/>
    <w:rsid w:val="00AE4563"/>
    <w:rsid w:val="00AE4823"/>
    <w:rsid w:val="00AF327D"/>
    <w:rsid w:val="00AF75FB"/>
    <w:rsid w:val="00AF7D58"/>
    <w:rsid w:val="00B11E92"/>
    <w:rsid w:val="00B13145"/>
    <w:rsid w:val="00B17DFF"/>
    <w:rsid w:val="00B17E6C"/>
    <w:rsid w:val="00B17FA9"/>
    <w:rsid w:val="00B21116"/>
    <w:rsid w:val="00B21AA5"/>
    <w:rsid w:val="00B33709"/>
    <w:rsid w:val="00B35533"/>
    <w:rsid w:val="00B37683"/>
    <w:rsid w:val="00B40664"/>
    <w:rsid w:val="00B4268C"/>
    <w:rsid w:val="00B44184"/>
    <w:rsid w:val="00B471B6"/>
    <w:rsid w:val="00B52649"/>
    <w:rsid w:val="00B540D8"/>
    <w:rsid w:val="00B54D94"/>
    <w:rsid w:val="00B61227"/>
    <w:rsid w:val="00B6186E"/>
    <w:rsid w:val="00B655FE"/>
    <w:rsid w:val="00B659CC"/>
    <w:rsid w:val="00B672E7"/>
    <w:rsid w:val="00B74175"/>
    <w:rsid w:val="00B75392"/>
    <w:rsid w:val="00B8549B"/>
    <w:rsid w:val="00B85DB5"/>
    <w:rsid w:val="00B86014"/>
    <w:rsid w:val="00B91804"/>
    <w:rsid w:val="00B92634"/>
    <w:rsid w:val="00B941EB"/>
    <w:rsid w:val="00B94CCC"/>
    <w:rsid w:val="00BA32EE"/>
    <w:rsid w:val="00BA48C9"/>
    <w:rsid w:val="00BA4A82"/>
    <w:rsid w:val="00BA4ADF"/>
    <w:rsid w:val="00BA6EA7"/>
    <w:rsid w:val="00BA6F1E"/>
    <w:rsid w:val="00BA7250"/>
    <w:rsid w:val="00BA7DAC"/>
    <w:rsid w:val="00BB1306"/>
    <w:rsid w:val="00BB39B2"/>
    <w:rsid w:val="00BB3FFC"/>
    <w:rsid w:val="00BB4AFD"/>
    <w:rsid w:val="00BC1CE0"/>
    <w:rsid w:val="00BC2C33"/>
    <w:rsid w:val="00BC2FD3"/>
    <w:rsid w:val="00BC70F3"/>
    <w:rsid w:val="00BD272C"/>
    <w:rsid w:val="00BD321E"/>
    <w:rsid w:val="00BD33E7"/>
    <w:rsid w:val="00BD3B83"/>
    <w:rsid w:val="00BD53F7"/>
    <w:rsid w:val="00BE0821"/>
    <w:rsid w:val="00BE1147"/>
    <w:rsid w:val="00BE27B8"/>
    <w:rsid w:val="00BE2E2E"/>
    <w:rsid w:val="00BE4D62"/>
    <w:rsid w:val="00BE5A84"/>
    <w:rsid w:val="00BE5ADE"/>
    <w:rsid w:val="00BF052B"/>
    <w:rsid w:val="00BF50FC"/>
    <w:rsid w:val="00BF6D0F"/>
    <w:rsid w:val="00C0080A"/>
    <w:rsid w:val="00C00B2C"/>
    <w:rsid w:val="00C11FBF"/>
    <w:rsid w:val="00C13836"/>
    <w:rsid w:val="00C13BB8"/>
    <w:rsid w:val="00C1401B"/>
    <w:rsid w:val="00C27C9C"/>
    <w:rsid w:val="00C34C54"/>
    <w:rsid w:val="00C35FA7"/>
    <w:rsid w:val="00C3717D"/>
    <w:rsid w:val="00C40561"/>
    <w:rsid w:val="00C45EB8"/>
    <w:rsid w:val="00C5108A"/>
    <w:rsid w:val="00C52D5D"/>
    <w:rsid w:val="00C57C30"/>
    <w:rsid w:val="00C66FFA"/>
    <w:rsid w:val="00C74534"/>
    <w:rsid w:val="00C814A8"/>
    <w:rsid w:val="00C840F4"/>
    <w:rsid w:val="00C94C1E"/>
    <w:rsid w:val="00C95617"/>
    <w:rsid w:val="00C97F9F"/>
    <w:rsid w:val="00CA2CDB"/>
    <w:rsid w:val="00CA344B"/>
    <w:rsid w:val="00CA37A6"/>
    <w:rsid w:val="00CA62C6"/>
    <w:rsid w:val="00CA7BBC"/>
    <w:rsid w:val="00CB0A25"/>
    <w:rsid w:val="00CB11ED"/>
    <w:rsid w:val="00CB433E"/>
    <w:rsid w:val="00CB71B9"/>
    <w:rsid w:val="00CC0D66"/>
    <w:rsid w:val="00CC1D90"/>
    <w:rsid w:val="00CC2CAC"/>
    <w:rsid w:val="00CC722D"/>
    <w:rsid w:val="00CC742A"/>
    <w:rsid w:val="00CC79B2"/>
    <w:rsid w:val="00CD08A4"/>
    <w:rsid w:val="00CD2661"/>
    <w:rsid w:val="00CD3F29"/>
    <w:rsid w:val="00D001BA"/>
    <w:rsid w:val="00D01364"/>
    <w:rsid w:val="00D01F3F"/>
    <w:rsid w:val="00D0200F"/>
    <w:rsid w:val="00D0252F"/>
    <w:rsid w:val="00D05BDC"/>
    <w:rsid w:val="00D1702B"/>
    <w:rsid w:val="00D179EC"/>
    <w:rsid w:val="00D26E90"/>
    <w:rsid w:val="00D2788B"/>
    <w:rsid w:val="00D312A9"/>
    <w:rsid w:val="00D3590F"/>
    <w:rsid w:val="00D36CA9"/>
    <w:rsid w:val="00D4112B"/>
    <w:rsid w:val="00D43AD3"/>
    <w:rsid w:val="00D4463A"/>
    <w:rsid w:val="00D449FA"/>
    <w:rsid w:val="00D476C3"/>
    <w:rsid w:val="00D5116C"/>
    <w:rsid w:val="00D52310"/>
    <w:rsid w:val="00D52925"/>
    <w:rsid w:val="00D535B7"/>
    <w:rsid w:val="00D535C9"/>
    <w:rsid w:val="00D5706C"/>
    <w:rsid w:val="00D61D13"/>
    <w:rsid w:val="00D641C5"/>
    <w:rsid w:val="00D751D5"/>
    <w:rsid w:val="00D75F89"/>
    <w:rsid w:val="00D805E6"/>
    <w:rsid w:val="00D80A2B"/>
    <w:rsid w:val="00D80D4C"/>
    <w:rsid w:val="00D84E53"/>
    <w:rsid w:val="00D85317"/>
    <w:rsid w:val="00D8630F"/>
    <w:rsid w:val="00D86514"/>
    <w:rsid w:val="00D92086"/>
    <w:rsid w:val="00D94EB1"/>
    <w:rsid w:val="00D95E01"/>
    <w:rsid w:val="00D975E2"/>
    <w:rsid w:val="00DA0F9F"/>
    <w:rsid w:val="00DA3B46"/>
    <w:rsid w:val="00DA49AD"/>
    <w:rsid w:val="00DA607D"/>
    <w:rsid w:val="00DA7E6C"/>
    <w:rsid w:val="00DB0C02"/>
    <w:rsid w:val="00DB213B"/>
    <w:rsid w:val="00DB2EE8"/>
    <w:rsid w:val="00DB3756"/>
    <w:rsid w:val="00DB5728"/>
    <w:rsid w:val="00DB58A8"/>
    <w:rsid w:val="00DB6775"/>
    <w:rsid w:val="00DC2B3F"/>
    <w:rsid w:val="00DD0E02"/>
    <w:rsid w:val="00DD1519"/>
    <w:rsid w:val="00DD4EA2"/>
    <w:rsid w:val="00DE0475"/>
    <w:rsid w:val="00DE0CE7"/>
    <w:rsid w:val="00DE2029"/>
    <w:rsid w:val="00DE5A8D"/>
    <w:rsid w:val="00DE5C54"/>
    <w:rsid w:val="00DE6E6F"/>
    <w:rsid w:val="00DF15D6"/>
    <w:rsid w:val="00DF429E"/>
    <w:rsid w:val="00DF7B13"/>
    <w:rsid w:val="00DF7F19"/>
    <w:rsid w:val="00E00048"/>
    <w:rsid w:val="00E0023A"/>
    <w:rsid w:val="00E00A45"/>
    <w:rsid w:val="00E01ACE"/>
    <w:rsid w:val="00E03B7B"/>
    <w:rsid w:val="00E04281"/>
    <w:rsid w:val="00E043EC"/>
    <w:rsid w:val="00E0700C"/>
    <w:rsid w:val="00E077CE"/>
    <w:rsid w:val="00E10F6C"/>
    <w:rsid w:val="00E14ED1"/>
    <w:rsid w:val="00E154A6"/>
    <w:rsid w:val="00E17919"/>
    <w:rsid w:val="00E23744"/>
    <w:rsid w:val="00E246FB"/>
    <w:rsid w:val="00E31C22"/>
    <w:rsid w:val="00E37837"/>
    <w:rsid w:val="00E37F16"/>
    <w:rsid w:val="00E4195B"/>
    <w:rsid w:val="00E42F34"/>
    <w:rsid w:val="00E43AEE"/>
    <w:rsid w:val="00E4406D"/>
    <w:rsid w:val="00E45A4A"/>
    <w:rsid w:val="00E45DBF"/>
    <w:rsid w:val="00E54A7D"/>
    <w:rsid w:val="00E57A33"/>
    <w:rsid w:val="00E64687"/>
    <w:rsid w:val="00E66065"/>
    <w:rsid w:val="00E67F52"/>
    <w:rsid w:val="00E70A86"/>
    <w:rsid w:val="00E73AD6"/>
    <w:rsid w:val="00E74D0F"/>
    <w:rsid w:val="00E75311"/>
    <w:rsid w:val="00E75DC7"/>
    <w:rsid w:val="00E85148"/>
    <w:rsid w:val="00E86DE0"/>
    <w:rsid w:val="00E93052"/>
    <w:rsid w:val="00E94FD4"/>
    <w:rsid w:val="00E950B7"/>
    <w:rsid w:val="00E97393"/>
    <w:rsid w:val="00EA323F"/>
    <w:rsid w:val="00EB33ED"/>
    <w:rsid w:val="00EB5B8E"/>
    <w:rsid w:val="00EB7B2C"/>
    <w:rsid w:val="00EC1AC3"/>
    <w:rsid w:val="00ED05A1"/>
    <w:rsid w:val="00ED0975"/>
    <w:rsid w:val="00ED0CF0"/>
    <w:rsid w:val="00ED3410"/>
    <w:rsid w:val="00EE0C96"/>
    <w:rsid w:val="00EE44A5"/>
    <w:rsid w:val="00EF1FF2"/>
    <w:rsid w:val="00EF2C7E"/>
    <w:rsid w:val="00EF41D6"/>
    <w:rsid w:val="00EF669C"/>
    <w:rsid w:val="00F1044A"/>
    <w:rsid w:val="00F122BB"/>
    <w:rsid w:val="00F1360E"/>
    <w:rsid w:val="00F20704"/>
    <w:rsid w:val="00F2396B"/>
    <w:rsid w:val="00F2440B"/>
    <w:rsid w:val="00F25A46"/>
    <w:rsid w:val="00F27912"/>
    <w:rsid w:val="00F31E83"/>
    <w:rsid w:val="00F338E3"/>
    <w:rsid w:val="00F41875"/>
    <w:rsid w:val="00F4373F"/>
    <w:rsid w:val="00F44DE7"/>
    <w:rsid w:val="00F453C8"/>
    <w:rsid w:val="00F45B40"/>
    <w:rsid w:val="00F554AE"/>
    <w:rsid w:val="00F564E8"/>
    <w:rsid w:val="00F620F4"/>
    <w:rsid w:val="00F728D1"/>
    <w:rsid w:val="00F746C6"/>
    <w:rsid w:val="00F75F1A"/>
    <w:rsid w:val="00F80D4D"/>
    <w:rsid w:val="00F835E0"/>
    <w:rsid w:val="00F857C5"/>
    <w:rsid w:val="00F860A9"/>
    <w:rsid w:val="00F95CD0"/>
    <w:rsid w:val="00FA1776"/>
    <w:rsid w:val="00FA2DA8"/>
    <w:rsid w:val="00FA3EB0"/>
    <w:rsid w:val="00FA5669"/>
    <w:rsid w:val="00FA74A6"/>
    <w:rsid w:val="00FB0B10"/>
    <w:rsid w:val="00FB3729"/>
    <w:rsid w:val="00FB5223"/>
    <w:rsid w:val="00FB6AEC"/>
    <w:rsid w:val="00FC4330"/>
    <w:rsid w:val="00FC7B89"/>
    <w:rsid w:val="00FD161D"/>
    <w:rsid w:val="00FD2CDE"/>
    <w:rsid w:val="00FD6578"/>
    <w:rsid w:val="00FD7DDC"/>
    <w:rsid w:val="00FE43F3"/>
    <w:rsid w:val="00FE4820"/>
    <w:rsid w:val="00FE79F1"/>
    <w:rsid w:val="00FF1405"/>
    <w:rsid w:val="00FF408C"/>
    <w:rsid w:val="00FF4D23"/>
    <w:rsid w:val="00FF5D74"/>
    <w:rsid w:val="014F09E6"/>
    <w:rsid w:val="02234BB4"/>
    <w:rsid w:val="05397677"/>
    <w:rsid w:val="055A64FA"/>
    <w:rsid w:val="089E4F5A"/>
    <w:rsid w:val="09F8667B"/>
    <w:rsid w:val="0DD0281E"/>
    <w:rsid w:val="0F946EC1"/>
    <w:rsid w:val="111E1578"/>
    <w:rsid w:val="11E27B38"/>
    <w:rsid w:val="13D824C6"/>
    <w:rsid w:val="14161C29"/>
    <w:rsid w:val="14C9193B"/>
    <w:rsid w:val="18C96D19"/>
    <w:rsid w:val="1AF4794F"/>
    <w:rsid w:val="1B8554F6"/>
    <w:rsid w:val="1C936F6A"/>
    <w:rsid w:val="1CE77935"/>
    <w:rsid w:val="1D15115C"/>
    <w:rsid w:val="1D8E4B81"/>
    <w:rsid w:val="1F353C2F"/>
    <w:rsid w:val="1F931B0A"/>
    <w:rsid w:val="1FB43DE7"/>
    <w:rsid w:val="223C70CF"/>
    <w:rsid w:val="22DF331B"/>
    <w:rsid w:val="22E9392F"/>
    <w:rsid w:val="237627F2"/>
    <w:rsid w:val="24070BD1"/>
    <w:rsid w:val="24921345"/>
    <w:rsid w:val="24FA6DDA"/>
    <w:rsid w:val="2BBA544E"/>
    <w:rsid w:val="2BE21BA8"/>
    <w:rsid w:val="2C091390"/>
    <w:rsid w:val="2DC43C87"/>
    <w:rsid w:val="2E0917A2"/>
    <w:rsid w:val="30EA46D5"/>
    <w:rsid w:val="310A3EA7"/>
    <w:rsid w:val="318A10D1"/>
    <w:rsid w:val="31C97225"/>
    <w:rsid w:val="3219283C"/>
    <w:rsid w:val="3285322D"/>
    <w:rsid w:val="36E91C53"/>
    <w:rsid w:val="3A37586F"/>
    <w:rsid w:val="3A386432"/>
    <w:rsid w:val="3F283A52"/>
    <w:rsid w:val="41801E4C"/>
    <w:rsid w:val="474938C7"/>
    <w:rsid w:val="47B31109"/>
    <w:rsid w:val="48866BEA"/>
    <w:rsid w:val="48FD71F6"/>
    <w:rsid w:val="4A1D5698"/>
    <w:rsid w:val="4A515D96"/>
    <w:rsid w:val="4C9E752C"/>
    <w:rsid w:val="517405B8"/>
    <w:rsid w:val="518133EF"/>
    <w:rsid w:val="51A0242C"/>
    <w:rsid w:val="5266569F"/>
    <w:rsid w:val="55207013"/>
    <w:rsid w:val="5580504D"/>
    <w:rsid w:val="55E9176D"/>
    <w:rsid w:val="57BD1500"/>
    <w:rsid w:val="5E582AFD"/>
    <w:rsid w:val="5E7268C5"/>
    <w:rsid w:val="5EFC4434"/>
    <w:rsid w:val="60133F25"/>
    <w:rsid w:val="606A75CF"/>
    <w:rsid w:val="6255573F"/>
    <w:rsid w:val="648327B2"/>
    <w:rsid w:val="688724A5"/>
    <w:rsid w:val="6D6D49F0"/>
    <w:rsid w:val="6DF71223"/>
    <w:rsid w:val="6E492B93"/>
    <w:rsid w:val="70F74795"/>
    <w:rsid w:val="72037883"/>
    <w:rsid w:val="762F18B1"/>
    <w:rsid w:val="776A28DA"/>
    <w:rsid w:val="78390C34"/>
    <w:rsid w:val="786A61CD"/>
    <w:rsid w:val="7A753656"/>
    <w:rsid w:val="7DE051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autoRedefine/>
    <w:qFormat/>
    <w:uiPriority w:val="0"/>
    <w:pPr>
      <w:keepNext/>
      <w:pageBreakBefore/>
      <w:widowControl/>
      <w:spacing w:before="240" w:after="60" w:line="240" w:lineRule="atLeast"/>
      <w:jc w:val="left"/>
      <w:outlineLvl w:val="0"/>
    </w:pPr>
    <w:rPr>
      <w:rFonts w:ascii="Arial" w:hAnsi="Arial"/>
      <w:b/>
      <w:kern w:val="28"/>
      <w:sz w:val="24"/>
      <w:szCs w:val="20"/>
      <w:u w:val="single"/>
      <w:lang w:val="de-DE" w:eastAsia="de-DE"/>
    </w:rPr>
  </w:style>
  <w:style w:type="paragraph" w:styleId="3">
    <w:name w:val="heading 2"/>
    <w:basedOn w:val="1"/>
    <w:next w:val="1"/>
    <w:link w:val="55"/>
    <w:autoRedefine/>
    <w:qFormat/>
    <w:uiPriority w:val="0"/>
    <w:pPr>
      <w:keepNext/>
      <w:widowControl/>
      <w:spacing w:before="240" w:after="60" w:line="240" w:lineRule="atLeast"/>
      <w:jc w:val="left"/>
      <w:outlineLvl w:val="1"/>
    </w:pPr>
    <w:rPr>
      <w:rFonts w:ascii="Arial" w:hAnsi="Arial"/>
      <w:b/>
      <w:i/>
      <w:kern w:val="0"/>
      <w:sz w:val="20"/>
      <w:szCs w:val="20"/>
      <w:u w:val="single"/>
      <w:lang w:val="de-DE" w:eastAsia="de-DE"/>
    </w:rPr>
  </w:style>
  <w:style w:type="paragraph" w:styleId="4">
    <w:name w:val="heading 3"/>
    <w:basedOn w:val="1"/>
    <w:next w:val="1"/>
    <w:link w:val="59"/>
    <w:autoRedefine/>
    <w:qFormat/>
    <w:uiPriority w:val="0"/>
    <w:pPr>
      <w:keepNext/>
      <w:widowControl/>
      <w:spacing w:before="240" w:after="60" w:line="240" w:lineRule="atLeast"/>
      <w:jc w:val="left"/>
      <w:outlineLvl w:val="2"/>
    </w:pPr>
    <w:rPr>
      <w:rFonts w:ascii="Arial" w:hAnsi="Arial"/>
      <w:b/>
      <w:kern w:val="0"/>
      <w:sz w:val="20"/>
      <w:szCs w:val="20"/>
      <w:u w:val="single"/>
      <w:lang w:val="de-DE" w:eastAsia="de-DE"/>
    </w:rPr>
  </w:style>
  <w:style w:type="paragraph" w:styleId="5">
    <w:name w:val="heading 4"/>
    <w:basedOn w:val="1"/>
    <w:next w:val="1"/>
    <w:link w:val="52"/>
    <w:autoRedefine/>
    <w:qFormat/>
    <w:uiPriority w:val="0"/>
    <w:pPr>
      <w:keepNext/>
      <w:widowControl/>
      <w:spacing w:before="240" w:after="60"/>
      <w:jc w:val="left"/>
      <w:outlineLvl w:val="3"/>
    </w:pPr>
    <w:rPr>
      <w:rFonts w:ascii="Arial" w:hAnsi="Arial"/>
      <w:b/>
      <w:kern w:val="0"/>
      <w:sz w:val="24"/>
      <w:szCs w:val="20"/>
      <w:lang w:eastAsia="de-DE"/>
    </w:rPr>
  </w:style>
  <w:style w:type="paragraph" w:styleId="6">
    <w:name w:val="heading 5"/>
    <w:basedOn w:val="1"/>
    <w:next w:val="1"/>
    <w:link w:val="54"/>
    <w:autoRedefine/>
    <w:qFormat/>
    <w:uiPriority w:val="0"/>
    <w:pPr>
      <w:widowControl/>
      <w:spacing w:before="240" w:after="60"/>
      <w:jc w:val="left"/>
      <w:outlineLvl w:val="4"/>
    </w:pPr>
    <w:rPr>
      <w:rFonts w:ascii="Arial" w:hAnsi="Arial"/>
      <w:kern w:val="0"/>
      <w:sz w:val="22"/>
      <w:szCs w:val="20"/>
      <w:lang w:eastAsia="de-DE"/>
    </w:rPr>
  </w:style>
  <w:style w:type="paragraph" w:styleId="7">
    <w:name w:val="heading 6"/>
    <w:basedOn w:val="1"/>
    <w:next w:val="1"/>
    <w:autoRedefine/>
    <w:qFormat/>
    <w:uiPriority w:val="0"/>
    <w:pPr>
      <w:widowControl/>
      <w:spacing w:before="240" w:after="60"/>
      <w:jc w:val="left"/>
      <w:outlineLvl w:val="5"/>
    </w:pPr>
    <w:rPr>
      <w:i/>
      <w:kern w:val="0"/>
      <w:sz w:val="22"/>
      <w:szCs w:val="20"/>
      <w:lang w:eastAsia="de-DE"/>
    </w:rPr>
  </w:style>
  <w:style w:type="paragraph" w:styleId="8">
    <w:name w:val="heading 7"/>
    <w:basedOn w:val="1"/>
    <w:next w:val="1"/>
    <w:autoRedefine/>
    <w:qFormat/>
    <w:uiPriority w:val="0"/>
    <w:pPr>
      <w:widowControl/>
      <w:spacing w:before="240" w:after="60"/>
      <w:jc w:val="left"/>
      <w:outlineLvl w:val="6"/>
    </w:pPr>
    <w:rPr>
      <w:rFonts w:ascii="Arial" w:hAnsi="Arial"/>
      <w:kern w:val="0"/>
      <w:sz w:val="20"/>
      <w:szCs w:val="20"/>
      <w:lang w:eastAsia="de-DE"/>
    </w:rPr>
  </w:style>
  <w:style w:type="paragraph" w:styleId="9">
    <w:name w:val="heading 8"/>
    <w:basedOn w:val="1"/>
    <w:next w:val="1"/>
    <w:autoRedefine/>
    <w:qFormat/>
    <w:uiPriority w:val="0"/>
    <w:pPr>
      <w:widowControl/>
      <w:spacing w:before="240" w:after="60"/>
      <w:jc w:val="left"/>
      <w:outlineLvl w:val="7"/>
    </w:pPr>
    <w:rPr>
      <w:rFonts w:ascii="Arial" w:hAnsi="Arial"/>
      <w:i/>
      <w:kern w:val="0"/>
      <w:sz w:val="20"/>
      <w:szCs w:val="20"/>
      <w:lang w:eastAsia="de-DE"/>
    </w:rPr>
  </w:style>
  <w:style w:type="paragraph" w:styleId="10">
    <w:name w:val="heading 9"/>
    <w:basedOn w:val="1"/>
    <w:next w:val="1"/>
    <w:autoRedefine/>
    <w:qFormat/>
    <w:uiPriority w:val="0"/>
    <w:pPr>
      <w:widowControl/>
      <w:spacing w:before="240" w:after="60"/>
      <w:jc w:val="left"/>
      <w:outlineLvl w:val="8"/>
    </w:pPr>
    <w:rPr>
      <w:rFonts w:ascii="Arial" w:hAnsi="Arial"/>
      <w:b/>
      <w:i/>
      <w:kern w:val="0"/>
      <w:sz w:val="18"/>
      <w:szCs w:val="20"/>
      <w:lang w:eastAsia="de-DE"/>
    </w:rPr>
  </w:style>
  <w:style w:type="character" w:default="1" w:styleId="36">
    <w:name w:val="Default Paragraph Font"/>
    <w:autoRedefine/>
    <w:unhideWhenUsed/>
    <w:qFormat/>
    <w:uiPriority w:val="1"/>
  </w:style>
  <w:style w:type="table" w:default="1" w:styleId="33">
    <w:name w:val="Normal Table"/>
    <w:autoRedefine/>
    <w:unhideWhenUsed/>
    <w:qFormat/>
    <w:uiPriority w:val="99"/>
    <w:tblPr>
      <w:tblCellMar>
        <w:top w:w="0" w:type="dxa"/>
        <w:left w:w="108" w:type="dxa"/>
        <w:bottom w:w="0" w:type="dxa"/>
        <w:right w:w="108" w:type="dxa"/>
      </w:tblCellMar>
    </w:tblPr>
  </w:style>
  <w:style w:type="paragraph" w:styleId="11">
    <w:name w:val="Normal Indent"/>
    <w:basedOn w:val="1"/>
    <w:autoRedefine/>
    <w:unhideWhenUsed/>
    <w:qFormat/>
    <w:uiPriority w:val="99"/>
    <w:pPr>
      <w:ind w:firstLine="420"/>
    </w:pPr>
    <w:rPr>
      <w:szCs w:val="20"/>
    </w:rPr>
  </w:style>
  <w:style w:type="paragraph" w:styleId="12">
    <w:name w:val="Document Map"/>
    <w:basedOn w:val="1"/>
    <w:link w:val="45"/>
    <w:autoRedefine/>
    <w:unhideWhenUsed/>
    <w:qFormat/>
    <w:uiPriority w:val="99"/>
    <w:pPr>
      <w:spacing w:line="360" w:lineRule="auto"/>
    </w:pPr>
    <w:rPr>
      <w:rFonts w:ascii="宋体"/>
      <w:sz w:val="18"/>
      <w:szCs w:val="18"/>
    </w:rPr>
  </w:style>
  <w:style w:type="paragraph" w:styleId="13">
    <w:name w:val="annotation text"/>
    <w:basedOn w:val="1"/>
    <w:link w:val="51"/>
    <w:autoRedefine/>
    <w:qFormat/>
    <w:uiPriority w:val="99"/>
    <w:pPr>
      <w:jc w:val="left"/>
    </w:pPr>
  </w:style>
  <w:style w:type="paragraph" w:styleId="14">
    <w:name w:val="Body Text 3"/>
    <w:basedOn w:val="1"/>
    <w:link w:val="56"/>
    <w:autoRedefine/>
    <w:qFormat/>
    <w:uiPriority w:val="0"/>
    <w:pPr>
      <w:spacing w:after="120"/>
    </w:pPr>
    <w:rPr>
      <w:sz w:val="16"/>
      <w:szCs w:val="16"/>
    </w:rPr>
  </w:style>
  <w:style w:type="paragraph" w:styleId="15">
    <w:name w:val="Body Text"/>
    <w:basedOn w:val="1"/>
    <w:autoRedefine/>
    <w:qFormat/>
    <w:uiPriority w:val="0"/>
    <w:pPr>
      <w:autoSpaceDE w:val="0"/>
      <w:autoSpaceDN w:val="0"/>
      <w:adjustRightInd w:val="0"/>
      <w:jc w:val="left"/>
      <w:textAlignment w:val="baseline"/>
    </w:pPr>
    <w:rPr>
      <w:rFonts w:ascii="宋体"/>
      <w:kern w:val="0"/>
      <w:sz w:val="28"/>
      <w:szCs w:val="20"/>
    </w:rPr>
  </w:style>
  <w:style w:type="paragraph" w:styleId="16">
    <w:name w:val="Body Text Indent"/>
    <w:basedOn w:val="1"/>
    <w:link w:val="57"/>
    <w:autoRedefine/>
    <w:qFormat/>
    <w:uiPriority w:val="0"/>
    <w:pPr>
      <w:spacing w:after="120"/>
      <w:ind w:left="420" w:leftChars="200"/>
    </w:pPr>
  </w:style>
  <w:style w:type="paragraph" w:styleId="17">
    <w:name w:val="List 2"/>
    <w:basedOn w:val="1"/>
    <w:autoRedefine/>
    <w:qFormat/>
    <w:uiPriority w:val="0"/>
    <w:pPr>
      <w:ind w:left="100" w:leftChars="200" w:hanging="200" w:hangingChars="200"/>
    </w:pPr>
  </w:style>
  <w:style w:type="paragraph" w:styleId="18">
    <w:name w:val="Plain Text"/>
    <w:basedOn w:val="1"/>
    <w:link w:val="43"/>
    <w:autoRedefine/>
    <w:qFormat/>
    <w:uiPriority w:val="0"/>
    <w:pPr>
      <w:jc w:val="left"/>
    </w:pPr>
    <w:rPr>
      <w:rFonts w:ascii="MingLiU" w:hAnsi="Courier New" w:eastAsia="MingLiU"/>
      <w:sz w:val="24"/>
      <w:szCs w:val="20"/>
      <w:lang w:eastAsia="zh-TW"/>
    </w:rPr>
  </w:style>
  <w:style w:type="paragraph" w:styleId="19">
    <w:name w:val="List Bullet 5"/>
    <w:basedOn w:val="1"/>
    <w:autoRedefine/>
    <w:qFormat/>
    <w:uiPriority w:val="0"/>
    <w:pPr>
      <w:widowControl/>
      <w:tabs>
        <w:tab w:val="left" w:pos="354"/>
      </w:tabs>
      <w:ind w:left="1492" w:hanging="1492"/>
      <w:jc w:val="left"/>
    </w:pPr>
    <w:rPr>
      <w:rFonts w:ascii="Arial" w:hAnsi="Arial"/>
      <w:kern w:val="0"/>
      <w:sz w:val="20"/>
      <w:szCs w:val="20"/>
      <w:lang w:val="en-GB"/>
    </w:rPr>
  </w:style>
  <w:style w:type="paragraph" w:styleId="20">
    <w:name w:val="Date"/>
    <w:basedOn w:val="1"/>
    <w:next w:val="1"/>
    <w:link w:val="60"/>
    <w:autoRedefine/>
    <w:qFormat/>
    <w:uiPriority w:val="0"/>
    <w:pPr>
      <w:autoSpaceDE w:val="0"/>
      <w:autoSpaceDN w:val="0"/>
      <w:adjustRightInd w:val="0"/>
      <w:textAlignment w:val="baseline"/>
    </w:pPr>
    <w:rPr>
      <w:rFonts w:ascii="宋体"/>
      <w:kern w:val="0"/>
      <w:sz w:val="28"/>
      <w:szCs w:val="20"/>
    </w:rPr>
  </w:style>
  <w:style w:type="paragraph" w:styleId="21">
    <w:name w:val="Balloon Text"/>
    <w:basedOn w:val="1"/>
    <w:link w:val="47"/>
    <w:autoRedefine/>
    <w:qFormat/>
    <w:uiPriority w:val="99"/>
    <w:rPr>
      <w:sz w:val="18"/>
      <w:szCs w:val="18"/>
    </w:rPr>
  </w:style>
  <w:style w:type="paragraph" w:styleId="22">
    <w:name w:val="footer"/>
    <w:basedOn w:val="1"/>
    <w:link w:val="49"/>
    <w:autoRedefine/>
    <w:qFormat/>
    <w:uiPriority w:val="99"/>
    <w:pPr>
      <w:tabs>
        <w:tab w:val="center" w:pos="4153"/>
        <w:tab w:val="right" w:pos="8306"/>
      </w:tabs>
      <w:autoSpaceDE w:val="0"/>
      <w:autoSpaceDN w:val="0"/>
      <w:adjustRightInd w:val="0"/>
      <w:snapToGrid w:val="0"/>
      <w:jc w:val="left"/>
      <w:textAlignment w:val="baseline"/>
    </w:pPr>
    <w:rPr>
      <w:rFonts w:ascii="宋体"/>
      <w:kern w:val="0"/>
      <w:sz w:val="18"/>
      <w:szCs w:val="20"/>
    </w:rPr>
  </w:style>
  <w:style w:type="paragraph" w:styleId="23">
    <w:name w:val="header"/>
    <w:basedOn w:val="1"/>
    <w:link w:val="44"/>
    <w:autoRedefine/>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kern w:val="0"/>
      <w:sz w:val="18"/>
      <w:szCs w:val="20"/>
    </w:rPr>
  </w:style>
  <w:style w:type="paragraph" w:styleId="24">
    <w:name w:val="toc 1"/>
    <w:basedOn w:val="1"/>
    <w:next w:val="1"/>
    <w:autoRedefine/>
    <w:qFormat/>
    <w:uiPriority w:val="39"/>
    <w:pPr>
      <w:tabs>
        <w:tab w:val="right" w:leader="dot" w:pos="8825"/>
      </w:tabs>
      <w:spacing w:line="360" w:lineRule="auto"/>
    </w:pPr>
    <w:rPr>
      <w:rFonts w:ascii="宋体" w:hAnsi="宋体"/>
      <w:b/>
      <w:sz w:val="28"/>
    </w:rPr>
  </w:style>
  <w:style w:type="paragraph" w:styleId="25">
    <w:name w:val="toc 4"/>
    <w:basedOn w:val="1"/>
    <w:next w:val="1"/>
    <w:semiHidden/>
    <w:qFormat/>
    <w:uiPriority w:val="0"/>
    <w:pPr>
      <w:ind w:left="1260" w:leftChars="600"/>
    </w:pPr>
  </w:style>
  <w:style w:type="paragraph" w:styleId="26">
    <w:name w:val="List"/>
    <w:basedOn w:val="1"/>
    <w:autoRedefine/>
    <w:qFormat/>
    <w:uiPriority w:val="0"/>
    <w:pPr>
      <w:ind w:left="200" w:hanging="200"/>
    </w:pPr>
    <w:rPr>
      <w:szCs w:val="20"/>
    </w:rPr>
  </w:style>
  <w:style w:type="paragraph" w:styleId="27">
    <w:name w:val="footnote text"/>
    <w:basedOn w:val="1"/>
    <w:link w:val="53"/>
    <w:unhideWhenUsed/>
    <w:qFormat/>
    <w:uiPriority w:val="99"/>
    <w:pPr>
      <w:snapToGrid w:val="0"/>
      <w:spacing w:line="360" w:lineRule="auto"/>
      <w:jc w:val="left"/>
    </w:pPr>
    <w:rPr>
      <w:sz w:val="18"/>
      <w:szCs w:val="18"/>
    </w:rPr>
  </w:style>
  <w:style w:type="paragraph" w:styleId="28">
    <w:name w:val="toc 2"/>
    <w:basedOn w:val="1"/>
    <w:next w:val="1"/>
    <w:unhideWhenUsed/>
    <w:qFormat/>
    <w:uiPriority w:val="39"/>
    <w:pPr>
      <w:ind w:left="420" w:leftChars="200"/>
    </w:pPr>
  </w:style>
  <w:style w:type="paragraph" w:styleId="29">
    <w:name w:val="HTML Preformatted"/>
    <w:basedOn w:val="1"/>
    <w:link w:val="4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hint="eastAsia" w:ascii="宋体" w:hAnsi="宋体"/>
      <w:kern w:val="0"/>
      <w:sz w:val="24"/>
    </w:rPr>
  </w:style>
  <w:style w:type="paragraph" w:styleId="30">
    <w:name w:val="Normal (Web)"/>
    <w:basedOn w:val="1"/>
    <w:qFormat/>
    <w:uiPriority w:val="99"/>
    <w:pPr>
      <w:widowControl/>
      <w:spacing w:before="100" w:beforeAutospacing="1" w:after="100" w:afterAutospacing="1"/>
      <w:jc w:val="left"/>
    </w:pPr>
    <w:rPr>
      <w:rFonts w:ascii="Arial" w:hAnsi="Arial" w:cs="Arial"/>
      <w:kern w:val="0"/>
      <w:sz w:val="26"/>
      <w:szCs w:val="26"/>
    </w:rPr>
  </w:style>
  <w:style w:type="paragraph" w:styleId="31">
    <w:name w:val="Title"/>
    <w:basedOn w:val="1"/>
    <w:next w:val="1"/>
    <w:link w:val="46"/>
    <w:qFormat/>
    <w:uiPriority w:val="0"/>
    <w:pPr>
      <w:spacing w:before="240" w:after="60"/>
      <w:jc w:val="center"/>
      <w:outlineLvl w:val="0"/>
    </w:pPr>
    <w:rPr>
      <w:rFonts w:ascii="Calibri Light" w:hAnsi="Calibri Light"/>
      <w:b/>
      <w:bCs/>
      <w:sz w:val="44"/>
      <w:szCs w:val="32"/>
    </w:rPr>
  </w:style>
  <w:style w:type="paragraph" w:styleId="32">
    <w:name w:val="annotation subject"/>
    <w:basedOn w:val="13"/>
    <w:next w:val="13"/>
    <w:link w:val="50"/>
    <w:autoRedefine/>
    <w:qFormat/>
    <w:uiPriority w:val="99"/>
    <w:rPr>
      <w:b/>
      <w:bCs/>
    </w:rPr>
  </w:style>
  <w:style w:type="table" w:styleId="34">
    <w:name w:val="Table Grid"/>
    <w:basedOn w:val="3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5">
    <w:name w:val="Medium Grid 3 Accent 1"/>
    <w:basedOn w:val="33"/>
    <w:qFormat/>
    <w:uiPriority w:val="69"/>
    <w:rPr>
      <w:rFonts w:ascii="Calibri" w:hAnsi="Calibri"/>
      <w:kern w:val="2"/>
      <w:sz w:val="21"/>
      <w:szCs w:val="22"/>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7BFDE"/>
      </w:tcPr>
    </w:tblStylePr>
  </w:style>
  <w:style w:type="character" w:styleId="37">
    <w:name w:val="Strong"/>
    <w:basedOn w:val="36"/>
    <w:autoRedefine/>
    <w:qFormat/>
    <w:uiPriority w:val="22"/>
    <w:rPr>
      <w:b/>
      <w:bCs/>
    </w:rPr>
  </w:style>
  <w:style w:type="character" w:styleId="38">
    <w:name w:val="page number"/>
    <w:basedOn w:val="36"/>
    <w:qFormat/>
    <w:uiPriority w:val="0"/>
  </w:style>
  <w:style w:type="character" w:styleId="39">
    <w:name w:val="FollowedHyperlink"/>
    <w:basedOn w:val="36"/>
    <w:qFormat/>
    <w:uiPriority w:val="0"/>
    <w:rPr>
      <w:color w:val="800080"/>
      <w:u w:val="none"/>
    </w:rPr>
  </w:style>
  <w:style w:type="character" w:styleId="40">
    <w:name w:val="Hyperlink"/>
    <w:basedOn w:val="36"/>
    <w:autoRedefine/>
    <w:unhideWhenUsed/>
    <w:qFormat/>
    <w:uiPriority w:val="99"/>
    <w:rPr>
      <w:color w:val="0563C1"/>
      <w:u w:val="single"/>
    </w:rPr>
  </w:style>
  <w:style w:type="character" w:styleId="41">
    <w:name w:val="annotation reference"/>
    <w:basedOn w:val="36"/>
    <w:autoRedefine/>
    <w:qFormat/>
    <w:uiPriority w:val="99"/>
    <w:rPr>
      <w:sz w:val="21"/>
      <w:szCs w:val="21"/>
    </w:rPr>
  </w:style>
  <w:style w:type="character" w:styleId="42">
    <w:name w:val="footnote reference"/>
    <w:basedOn w:val="36"/>
    <w:unhideWhenUsed/>
    <w:qFormat/>
    <w:uiPriority w:val="99"/>
    <w:rPr>
      <w:vertAlign w:val="superscript"/>
    </w:rPr>
  </w:style>
  <w:style w:type="character" w:customStyle="1" w:styleId="43">
    <w:name w:val="纯文本 字符"/>
    <w:basedOn w:val="36"/>
    <w:link w:val="18"/>
    <w:qFormat/>
    <w:uiPriority w:val="0"/>
    <w:rPr>
      <w:rFonts w:ascii="MingLiU" w:hAnsi="Courier New" w:eastAsia="MingLiU"/>
      <w:kern w:val="2"/>
      <w:sz w:val="24"/>
      <w:lang w:eastAsia="zh-TW"/>
    </w:rPr>
  </w:style>
  <w:style w:type="character" w:customStyle="1" w:styleId="44">
    <w:name w:val="页眉 字符"/>
    <w:link w:val="23"/>
    <w:autoRedefine/>
    <w:qFormat/>
    <w:locked/>
    <w:uiPriority w:val="0"/>
    <w:rPr>
      <w:rFonts w:ascii="宋体" w:eastAsia="宋体"/>
      <w:sz w:val="18"/>
      <w:lang w:val="en-US" w:eastAsia="zh-CN" w:bidi="ar-SA"/>
    </w:rPr>
  </w:style>
  <w:style w:type="character" w:customStyle="1" w:styleId="45">
    <w:name w:val="文档结构图 字符"/>
    <w:basedOn w:val="36"/>
    <w:link w:val="12"/>
    <w:qFormat/>
    <w:uiPriority w:val="99"/>
    <w:rPr>
      <w:rFonts w:ascii="宋体"/>
      <w:kern w:val="2"/>
      <w:sz w:val="18"/>
      <w:szCs w:val="18"/>
    </w:rPr>
  </w:style>
  <w:style w:type="character" w:customStyle="1" w:styleId="46">
    <w:name w:val="标题 字符"/>
    <w:basedOn w:val="36"/>
    <w:link w:val="31"/>
    <w:qFormat/>
    <w:uiPriority w:val="0"/>
    <w:rPr>
      <w:rFonts w:ascii="Calibri Light" w:hAnsi="Calibri Light"/>
      <w:b/>
      <w:bCs/>
      <w:kern w:val="2"/>
      <w:sz w:val="44"/>
      <w:szCs w:val="32"/>
    </w:rPr>
  </w:style>
  <w:style w:type="character" w:customStyle="1" w:styleId="47">
    <w:name w:val="批注框文本 字符"/>
    <w:basedOn w:val="36"/>
    <w:link w:val="21"/>
    <w:qFormat/>
    <w:uiPriority w:val="99"/>
    <w:rPr>
      <w:kern w:val="2"/>
      <w:sz w:val="18"/>
      <w:szCs w:val="18"/>
    </w:rPr>
  </w:style>
  <w:style w:type="character" w:customStyle="1" w:styleId="48">
    <w:name w:val="HTML 预设格式 字符"/>
    <w:basedOn w:val="36"/>
    <w:link w:val="29"/>
    <w:autoRedefine/>
    <w:qFormat/>
    <w:uiPriority w:val="0"/>
    <w:rPr>
      <w:rFonts w:ascii="宋体" w:hAnsi="宋体"/>
      <w:sz w:val="24"/>
      <w:szCs w:val="24"/>
    </w:rPr>
  </w:style>
  <w:style w:type="character" w:customStyle="1" w:styleId="49">
    <w:name w:val="页脚 字符"/>
    <w:link w:val="22"/>
    <w:autoRedefine/>
    <w:qFormat/>
    <w:locked/>
    <w:uiPriority w:val="99"/>
    <w:rPr>
      <w:rFonts w:ascii="宋体" w:eastAsia="宋体"/>
      <w:sz w:val="18"/>
      <w:lang w:val="en-US" w:eastAsia="zh-CN" w:bidi="ar-SA"/>
    </w:rPr>
  </w:style>
  <w:style w:type="character" w:customStyle="1" w:styleId="50">
    <w:name w:val="批注主题 字符"/>
    <w:basedOn w:val="51"/>
    <w:link w:val="32"/>
    <w:autoRedefine/>
    <w:qFormat/>
    <w:uiPriority w:val="99"/>
    <w:rPr>
      <w:b/>
      <w:bCs/>
      <w:kern w:val="2"/>
      <w:sz w:val="21"/>
      <w:szCs w:val="24"/>
    </w:rPr>
  </w:style>
  <w:style w:type="character" w:customStyle="1" w:styleId="51">
    <w:name w:val="批注文字 字符"/>
    <w:basedOn w:val="36"/>
    <w:link w:val="13"/>
    <w:autoRedefine/>
    <w:qFormat/>
    <w:uiPriority w:val="99"/>
    <w:rPr>
      <w:kern w:val="2"/>
      <w:sz w:val="21"/>
      <w:szCs w:val="24"/>
    </w:rPr>
  </w:style>
  <w:style w:type="character" w:customStyle="1" w:styleId="52">
    <w:name w:val="标题 4 字符"/>
    <w:basedOn w:val="36"/>
    <w:link w:val="5"/>
    <w:autoRedefine/>
    <w:qFormat/>
    <w:uiPriority w:val="0"/>
    <w:rPr>
      <w:rFonts w:ascii="Arial" w:hAnsi="Arial"/>
      <w:b/>
      <w:sz w:val="24"/>
      <w:lang w:eastAsia="de-DE"/>
    </w:rPr>
  </w:style>
  <w:style w:type="character" w:customStyle="1" w:styleId="53">
    <w:name w:val="脚注文本 字符"/>
    <w:basedOn w:val="36"/>
    <w:link w:val="27"/>
    <w:qFormat/>
    <w:uiPriority w:val="99"/>
    <w:rPr>
      <w:kern w:val="2"/>
      <w:sz w:val="18"/>
      <w:szCs w:val="18"/>
    </w:rPr>
  </w:style>
  <w:style w:type="character" w:customStyle="1" w:styleId="54">
    <w:name w:val="标题 5 字符"/>
    <w:basedOn w:val="36"/>
    <w:link w:val="6"/>
    <w:qFormat/>
    <w:uiPriority w:val="0"/>
    <w:rPr>
      <w:rFonts w:ascii="Arial" w:hAnsi="Arial"/>
      <w:sz w:val="22"/>
      <w:lang w:eastAsia="de-DE"/>
    </w:rPr>
  </w:style>
  <w:style w:type="character" w:customStyle="1" w:styleId="55">
    <w:name w:val="标题 2 字符"/>
    <w:basedOn w:val="36"/>
    <w:link w:val="3"/>
    <w:autoRedefine/>
    <w:qFormat/>
    <w:uiPriority w:val="0"/>
    <w:rPr>
      <w:rFonts w:ascii="Arial" w:hAnsi="Arial"/>
      <w:b/>
      <w:i/>
      <w:u w:val="single"/>
      <w:lang w:val="de-DE" w:eastAsia="de-DE"/>
    </w:rPr>
  </w:style>
  <w:style w:type="character" w:customStyle="1" w:styleId="56">
    <w:name w:val="正文文本 3 字符"/>
    <w:basedOn w:val="36"/>
    <w:link w:val="14"/>
    <w:autoRedefine/>
    <w:qFormat/>
    <w:uiPriority w:val="0"/>
    <w:rPr>
      <w:kern w:val="2"/>
      <w:sz w:val="16"/>
      <w:szCs w:val="16"/>
    </w:rPr>
  </w:style>
  <w:style w:type="character" w:customStyle="1" w:styleId="57">
    <w:name w:val="正文文本缩进 字符"/>
    <w:basedOn w:val="36"/>
    <w:link w:val="16"/>
    <w:qFormat/>
    <w:uiPriority w:val="0"/>
    <w:rPr>
      <w:kern w:val="2"/>
      <w:sz w:val="21"/>
      <w:szCs w:val="24"/>
    </w:rPr>
  </w:style>
  <w:style w:type="character" w:customStyle="1" w:styleId="58">
    <w:name w:val="标题 1 字符"/>
    <w:basedOn w:val="36"/>
    <w:link w:val="2"/>
    <w:qFormat/>
    <w:uiPriority w:val="0"/>
    <w:rPr>
      <w:rFonts w:ascii="Arial" w:hAnsi="Arial"/>
      <w:b/>
      <w:kern w:val="28"/>
      <w:sz w:val="24"/>
      <w:u w:val="single"/>
      <w:lang w:val="de-DE" w:eastAsia="de-DE"/>
    </w:rPr>
  </w:style>
  <w:style w:type="character" w:customStyle="1" w:styleId="59">
    <w:name w:val="标题 3 字符"/>
    <w:basedOn w:val="36"/>
    <w:link w:val="4"/>
    <w:autoRedefine/>
    <w:qFormat/>
    <w:uiPriority w:val="0"/>
    <w:rPr>
      <w:rFonts w:ascii="Arial" w:hAnsi="Arial"/>
      <w:b/>
      <w:u w:val="single"/>
      <w:lang w:val="de-DE" w:eastAsia="de-DE"/>
    </w:rPr>
  </w:style>
  <w:style w:type="character" w:customStyle="1" w:styleId="60">
    <w:name w:val="日期 字符"/>
    <w:link w:val="20"/>
    <w:qFormat/>
    <w:locked/>
    <w:uiPriority w:val="0"/>
    <w:rPr>
      <w:rFonts w:ascii="宋体"/>
      <w:sz w:val="28"/>
    </w:rPr>
  </w:style>
  <w:style w:type="character" w:customStyle="1" w:styleId="61">
    <w:name w:val="日期 Char1"/>
    <w:basedOn w:val="36"/>
    <w:semiHidden/>
    <w:qFormat/>
    <w:uiPriority w:val="99"/>
    <w:rPr>
      <w:kern w:val="2"/>
      <w:sz w:val="28"/>
      <w:szCs w:val="24"/>
    </w:rPr>
  </w:style>
  <w:style w:type="paragraph" w:customStyle="1" w:styleId="62">
    <w:name w:val="List Paragraph1"/>
    <w:basedOn w:val="1"/>
    <w:qFormat/>
    <w:uiPriority w:val="0"/>
    <w:pPr>
      <w:ind w:firstLine="420" w:firstLineChars="200"/>
    </w:pPr>
    <w:rPr>
      <w:rFonts w:ascii="Calibri" w:hAnsi="Calibri"/>
      <w:szCs w:val="22"/>
    </w:rPr>
  </w:style>
  <w:style w:type="paragraph" w:customStyle="1" w:styleId="63">
    <w:name w:val="列出段落3"/>
    <w:basedOn w:val="1"/>
    <w:autoRedefine/>
    <w:qFormat/>
    <w:uiPriority w:val="34"/>
    <w:pPr>
      <w:spacing w:line="360" w:lineRule="auto"/>
      <w:ind w:firstLine="420" w:firstLineChars="200"/>
    </w:pPr>
    <w:rPr>
      <w:sz w:val="28"/>
    </w:rPr>
  </w:style>
  <w:style w:type="paragraph" w:customStyle="1" w:styleId="64">
    <w:name w:val="List Paragraph"/>
    <w:basedOn w:val="1"/>
    <w:qFormat/>
    <w:uiPriority w:val="34"/>
    <w:pPr>
      <w:widowControl/>
      <w:ind w:firstLine="420" w:firstLineChars="200"/>
      <w:jc w:val="left"/>
    </w:pPr>
    <w:rPr>
      <w:rFonts w:ascii="Courier New" w:hAnsi="Courier New"/>
      <w:kern w:val="0"/>
      <w:sz w:val="24"/>
      <w:szCs w:val="20"/>
      <w:lang w:val="it-IT" w:eastAsia="en-US"/>
    </w:rPr>
  </w:style>
  <w:style w:type="paragraph" w:customStyle="1" w:styleId="6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6">
    <w:name w:val="S-标题三"/>
    <w:basedOn w:val="4"/>
    <w:autoRedefine/>
    <w:qFormat/>
    <w:uiPriority w:val="0"/>
    <w:pPr>
      <w:keepNext w:val="0"/>
      <w:tabs>
        <w:tab w:val="left" w:pos="0"/>
      </w:tabs>
      <w:autoSpaceDE w:val="0"/>
      <w:autoSpaceDN w:val="0"/>
      <w:adjustRightInd w:val="0"/>
      <w:snapToGrid w:val="0"/>
      <w:spacing w:before="0" w:after="0" w:line="312" w:lineRule="auto"/>
      <w:ind w:left="5241" w:hanging="420"/>
    </w:pPr>
    <w:rPr>
      <w:rFonts w:ascii="宋体" w:hAnsi="宋体" w:eastAsia="黑体"/>
      <w:kern w:val="2"/>
      <w:sz w:val="24"/>
      <w:szCs w:val="28"/>
      <w:u w:val="none"/>
      <w:lang w:val="en-GB" w:eastAsia="zh-CN"/>
    </w:rPr>
  </w:style>
  <w:style w:type="paragraph" w:customStyle="1" w:styleId="67">
    <w:name w:val="正文部分"/>
    <w:autoRedefine/>
    <w:qFormat/>
    <w:uiPriority w:val="0"/>
    <w:pPr>
      <w:widowControl w:val="0"/>
      <w:ind w:firstLine="200" w:firstLineChars="200"/>
      <w:jc w:val="both"/>
    </w:pPr>
    <w:rPr>
      <w:rFonts w:ascii="宋体" w:hAnsi="宋体" w:eastAsia="宋体" w:cs="Times New Roman"/>
      <w:snapToGrid w:val="0"/>
      <w:kern w:val="2"/>
      <w:sz w:val="28"/>
      <w:szCs w:val="28"/>
      <w:lang w:val="en-US" w:eastAsia="zh-CN" w:bidi="ar-SA"/>
    </w:rPr>
  </w:style>
  <w:style w:type="paragraph" w:customStyle="1" w:styleId="68">
    <w:name w:val="S-标题一"/>
    <w:basedOn w:val="2"/>
    <w:qFormat/>
    <w:uiPriority w:val="0"/>
    <w:pPr>
      <w:keepNext w:val="0"/>
      <w:widowControl w:val="0"/>
      <w:tabs>
        <w:tab w:val="left" w:pos="0"/>
        <w:tab w:val="left" w:pos="240"/>
        <w:tab w:val="left" w:pos="360"/>
        <w:tab w:val="left" w:pos="630"/>
      </w:tabs>
      <w:autoSpaceDE w:val="0"/>
      <w:autoSpaceDN w:val="0"/>
      <w:adjustRightInd w:val="0"/>
      <w:snapToGrid w:val="0"/>
      <w:spacing w:before="0" w:after="0" w:line="312" w:lineRule="auto"/>
    </w:pPr>
    <w:rPr>
      <w:rFonts w:ascii="宋体" w:hAnsi="宋体" w:eastAsia="黑体"/>
      <w:kern w:val="2"/>
      <w:sz w:val="30"/>
      <w:u w:val="none"/>
      <w:lang w:val="en-GB" w:eastAsia="zh-CN"/>
    </w:rPr>
  </w:style>
  <w:style w:type="paragraph" w:customStyle="1" w:styleId="69">
    <w:name w:val="Text normal"/>
    <w:autoRedefine/>
    <w:qFormat/>
    <w:uiPriority w:val="0"/>
    <w:pPr>
      <w:spacing w:line="240" w:lineRule="atLeast"/>
    </w:pPr>
    <w:rPr>
      <w:rFonts w:ascii="Arial" w:hAnsi="Arial" w:eastAsia="宋体" w:cs="Times New Roman"/>
      <w:lang w:val="de-DE" w:eastAsia="de-DE" w:bidi="ar-SA"/>
    </w:rPr>
  </w:style>
  <w:style w:type="paragraph" w:customStyle="1" w:styleId="70">
    <w:name w:val="0"/>
    <w:basedOn w:val="1"/>
    <w:autoRedefine/>
    <w:qFormat/>
    <w:uiPriority w:val="0"/>
    <w:pPr>
      <w:widowControl/>
      <w:snapToGrid w:val="0"/>
      <w:spacing w:line="360" w:lineRule="auto"/>
    </w:pPr>
    <w:rPr>
      <w:kern w:val="0"/>
      <w:sz w:val="20"/>
      <w:szCs w:val="20"/>
    </w:rPr>
  </w:style>
  <w:style w:type="paragraph" w:customStyle="1" w:styleId="71">
    <w:name w:val="Text body"/>
    <w:qFormat/>
    <w:uiPriority w:val="0"/>
    <w:pPr>
      <w:widowControl w:val="0"/>
      <w:suppressAutoHyphens/>
      <w:autoSpaceDN w:val="0"/>
      <w:spacing w:after="120"/>
      <w:textAlignment w:val="baseline"/>
    </w:pPr>
    <w:rPr>
      <w:rFonts w:ascii="Times New Roman" w:hAnsi="Times New Roman" w:eastAsia="宋体" w:cs="Times New Roman"/>
      <w:kern w:val="3"/>
      <w:sz w:val="21"/>
      <w:szCs w:val="24"/>
      <w:lang w:val="en-US" w:eastAsia="zh-CN" w:bidi="ar-SA"/>
    </w:rPr>
  </w:style>
  <w:style w:type="paragraph" w:customStyle="1" w:styleId="72">
    <w:name w:val="Char Char Char3 Char"/>
    <w:basedOn w:val="1"/>
    <w:autoRedefine/>
    <w:qFormat/>
    <w:uiPriority w:val="0"/>
  </w:style>
  <w:style w:type="paragraph" w:customStyle="1" w:styleId="73">
    <w:name w:val="列出段落1"/>
    <w:basedOn w:val="1"/>
    <w:autoRedefine/>
    <w:qFormat/>
    <w:uiPriority w:val="34"/>
    <w:pPr>
      <w:spacing w:line="360" w:lineRule="auto"/>
      <w:ind w:firstLine="420" w:firstLineChars="200"/>
    </w:pPr>
    <w:rPr>
      <w:sz w:val="28"/>
    </w:rPr>
  </w:style>
  <w:style w:type="paragraph" w:customStyle="1" w:styleId="74">
    <w:name w:val="样式1"/>
    <w:basedOn w:val="1"/>
    <w:autoRedefine/>
    <w:qFormat/>
    <w:uiPriority w:val="0"/>
    <w:pPr>
      <w:widowControl/>
      <w:ind w:left="283" w:hanging="283"/>
      <w:jc w:val="left"/>
    </w:pPr>
    <w:rPr>
      <w:rFonts w:ascii="Arial" w:hAnsi="Arial"/>
      <w:kern w:val="0"/>
      <w:sz w:val="20"/>
      <w:szCs w:val="20"/>
      <w:lang w:eastAsia="de-DE"/>
    </w:rPr>
  </w:style>
  <w:style w:type="paragraph" w:customStyle="1" w:styleId="75">
    <w:name w:val="列出段落2"/>
    <w:basedOn w:val="1"/>
    <w:autoRedefine/>
    <w:qFormat/>
    <w:uiPriority w:val="99"/>
    <w:pPr>
      <w:widowControl/>
      <w:ind w:firstLine="420"/>
      <w:jc w:val="left"/>
    </w:pPr>
    <w:rPr>
      <w:rFonts w:ascii="宋体" w:hAnsi="宋体" w:cs="宋体"/>
      <w:kern w:val="0"/>
      <w:sz w:val="24"/>
    </w:rPr>
  </w:style>
  <w:style w:type="paragraph" w:customStyle="1" w:styleId="76">
    <w:name w:val="正文首行缩进两字符"/>
    <w:basedOn w:val="1"/>
    <w:autoRedefine/>
    <w:qFormat/>
    <w:uiPriority w:val="0"/>
    <w:pPr>
      <w:spacing w:line="360" w:lineRule="auto"/>
      <w:ind w:firstLine="200" w:firstLineChars="200"/>
    </w:pPr>
  </w:style>
  <w:style w:type="paragraph" w:customStyle="1" w:styleId="77">
    <w:name w:val="p0"/>
    <w:basedOn w:val="1"/>
    <w:autoRedefine/>
    <w:qFormat/>
    <w:uiPriority w:val="0"/>
    <w:pPr>
      <w:widowControl/>
    </w:pPr>
    <w:rPr>
      <w:kern w:val="0"/>
      <w:szCs w:val="21"/>
    </w:rPr>
  </w:style>
  <w:style w:type="paragraph" w:customStyle="1" w:styleId="78">
    <w:name w:val="S-标题四"/>
    <w:basedOn w:val="5"/>
    <w:autoRedefine/>
    <w:qFormat/>
    <w:uiPriority w:val="0"/>
    <w:pPr>
      <w:keepLines/>
      <w:widowControl w:val="0"/>
      <w:tabs>
        <w:tab w:val="left" w:pos="360"/>
      </w:tabs>
      <w:spacing w:before="0" w:after="0" w:line="300" w:lineRule="auto"/>
    </w:pPr>
    <w:rPr>
      <w:rFonts w:ascii="Times New Roman" w:hAnsi="Times New Roman" w:eastAsia="黑体"/>
      <w:bCs/>
      <w:kern w:val="2"/>
      <w:szCs w:val="30"/>
      <w:lang w:val="en-GB" w:eastAsia="zh-CN"/>
    </w:rPr>
  </w:style>
  <w:style w:type="paragraph" w:customStyle="1" w:styleId="79">
    <w:name w:val="Default Text"/>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80">
    <w:name w:val="TOC 标题1"/>
    <w:basedOn w:val="2"/>
    <w:next w:val="1"/>
    <w:autoRedefine/>
    <w:qFormat/>
    <w:uiPriority w:val="39"/>
    <w:pPr>
      <w:keepLines/>
      <w:pageBreakBefore w:val="0"/>
      <w:spacing w:before="480" w:after="0" w:line="276" w:lineRule="auto"/>
      <w:outlineLvl w:val="9"/>
    </w:pPr>
    <w:rPr>
      <w:rFonts w:ascii="Calibri Light" w:hAnsi="Calibri Light"/>
      <w:bCs/>
      <w:color w:val="2E74B5"/>
      <w:kern w:val="0"/>
      <w:sz w:val="28"/>
      <w:szCs w:val="28"/>
      <w:u w:val="none"/>
      <w:lang w:val="en-US" w:eastAsia="zh-CN"/>
    </w:rPr>
  </w:style>
  <w:style w:type="paragraph" w:customStyle="1" w:styleId="81">
    <w:name w:val="S-标题二"/>
    <w:basedOn w:val="3"/>
    <w:autoRedefine/>
    <w:qFormat/>
    <w:uiPriority w:val="0"/>
    <w:pPr>
      <w:keepLines/>
      <w:widowControl w:val="0"/>
      <w:adjustRightInd w:val="0"/>
      <w:snapToGrid w:val="0"/>
      <w:spacing w:before="0" w:after="0" w:line="300" w:lineRule="auto"/>
    </w:pPr>
    <w:rPr>
      <w:rFonts w:eastAsia="黑体"/>
      <w:i w:val="0"/>
      <w:kern w:val="2"/>
      <w:sz w:val="28"/>
      <w:szCs w:val="28"/>
      <w:u w:val="none"/>
      <w:lang w:val="en-GB" w:eastAsia="zh-CN"/>
    </w:rPr>
  </w:style>
  <w:style w:type="paragraph" w:customStyle="1" w:styleId="82">
    <w:name w:val="S-正文"/>
    <w:basedOn w:val="1"/>
    <w:autoRedefine/>
    <w:qFormat/>
    <w:uiPriority w:val="0"/>
    <w:pPr>
      <w:spacing w:line="360" w:lineRule="auto"/>
      <w:ind w:firstLine="200" w:firstLineChars="200"/>
      <w:jc w:val="center"/>
    </w:pPr>
    <w:rPr>
      <w:sz w:val="24"/>
    </w:rPr>
  </w:style>
  <w:style w:type="paragraph" w:customStyle="1" w:styleId="83">
    <w:name w:val="Body"/>
    <w:autoRedefine/>
    <w:qFormat/>
    <w:uiPriority w:val="0"/>
    <w:pPr>
      <w:spacing w:after="120"/>
      <w:ind w:left="1418"/>
    </w:pPr>
    <w:rPr>
      <w:rFonts w:ascii="Arial" w:hAnsi="Arial" w:eastAsia="宋体" w:cs="Times New Roman"/>
      <w:sz w:val="22"/>
      <w:lang w:val="en-US" w:eastAsia="en-US" w:bidi="ar-SA"/>
    </w:rPr>
  </w:style>
  <w:style w:type="paragraph" w:customStyle="1" w:styleId="84">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5">
    <w:name w:val="2"/>
    <w:basedOn w:val="1"/>
    <w:autoRedefine/>
    <w:qFormat/>
    <w:uiPriority w:val="0"/>
    <w:pPr>
      <w:spacing w:line="800" w:lineRule="exact"/>
      <w:jc w:val="center"/>
    </w:pPr>
    <w:rPr>
      <w:b/>
      <w:sz w:val="36"/>
    </w:rPr>
  </w:style>
  <w:style w:type="table" w:customStyle="1" w:styleId="86">
    <w:name w:val="网格表 21"/>
    <w:basedOn w:val="33"/>
    <w:autoRedefine/>
    <w:qFormat/>
    <w:uiPriority w:val="47"/>
    <w:tblPr>
      <w:tblBorders>
        <w:top w:val="single" w:color="666666" w:sz="2" w:space="0"/>
        <w:bottom w:val="single" w:color="666666" w:sz="2" w:space="0"/>
        <w:insideH w:val="single" w:color="666666" w:sz="2" w:space="0"/>
        <w:insideV w:val="single" w:color="666666" w:sz="2" w:space="0"/>
      </w:tblBorders>
    </w:tblPr>
    <w:tblStylePr w:type="firstRow">
      <w:rPr>
        <w:b/>
        <w:bCs/>
      </w:rPr>
      <w:tcPr>
        <w:tcBorders>
          <w:top w:val="nil"/>
          <w:left w:val="nil"/>
          <w:bottom w:val="single" w:color="666666" w:sz="12" w:space="0"/>
          <w:right w:val="nil"/>
          <w:insideH w:val="nil"/>
          <w:insideV w:val="nil"/>
          <w:tl2br w:val="nil"/>
          <w:tr2bl w:val="nil"/>
        </w:tcBorders>
        <w:shd w:val="clear" w:color="auto" w:fill="FFFFFF"/>
      </w:tcPr>
    </w:tblStylePr>
    <w:tblStylePr w:type="lastRow">
      <w:rPr>
        <w:b/>
        <w:bCs/>
      </w:rPr>
      <w:tcPr>
        <w:tcBorders>
          <w:top w:val="double" w:color="666666" w:sz="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87">
    <w:name w:val="网格表 5 深色1"/>
    <w:basedOn w:val="33"/>
    <w:autoRedefine/>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CCCCCC"/>
    </w:tcPr>
    <w:tblStylePr w:type="firstRow">
      <w:rPr>
        <w:b/>
        <w:bCs/>
        <w:color w:val="FFFFFF"/>
      </w:rPr>
      <w:tcPr>
        <w:tcBorders>
          <w:top w:val="single" w:color="FFFFFF" w:sz="4" w:space="0"/>
          <w:left w:val="single" w:color="FFFFFF" w:sz="4" w:space="0"/>
          <w:bottom w:val="nil"/>
          <w:right w:val="single" w:color="FFFFFF" w:sz="4" w:space="0"/>
          <w:insideH w:val="nil"/>
          <w:insideV w:val="nil"/>
          <w:tl2br w:val="nil"/>
          <w:tr2bl w:val="nil"/>
        </w:tcBorders>
        <w:shd w:val="clear" w:color="auto" w:fill="000000"/>
      </w:tcPr>
    </w:tblStylePr>
    <w:tblStylePr w:type="lastRow">
      <w:rPr>
        <w:b/>
        <w:bCs/>
        <w:color w:val="FFFFFF"/>
      </w:rPr>
      <w:tcPr>
        <w:tcBorders>
          <w:top w:val="nil"/>
          <w:left w:val="single" w:color="FFFFFF" w:sz="4" w:space="0"/>
          <w:bottom w:val="single" w:color="FFFFFF" w:sz="4" w:space="0"/>
          <w:right w:val="single" w:color="FFFFFF" w:sz="4" w:space="0"/>
          <w:insideH w:val="nil"/>
          <w:insideV w:val="nil"/>
          <w:tl2br w:val="nil"/>
          <w:tr2bl w:val="nil"/>
        </w:tcBorders>
        <w:shd w:val="clear" w:color="auto" w:fill="000000"/>
      </w:tcPr>
    </w:tblStylePr>
    <w:tblStylePr w:type="firstCol">
      <w:rPr>
        <w:b/>
        <w:bCs/>
        <w:color w:val="FFFFFF"/>
      </w:rPr>
      <w:tcPr>
        <w:tcBorders>
          <w:top w:val="single" w:color="FFFFFF" w:sz="4" w:space="0"/>
          <w:left w:val="single" w:color="FFFFFF" w:sz="4" w:space="0"/>
          <w:bottom w:val="single" w:color="FFFFFF" w:sz="4" w:space="0"/>
          <w:right w:val="nil"/>
          <w:insideH w:val="nil"/>
          <w:insideV w:val="nil"/>
          <w:tl2br w:val="nil"/>
          <w:tr2bl w:val="nil"/>
        </w:tcBorders>
        <w:shd w:val="clear" w:color="auto" w:fill="000000"/>
      </w:tcPr>
    </w:tblStylePr>
    <w:tblStylePr w:type="lastCol">
      <w:rPr>
        <w:b/>
        <w:bCs/>
        <w:color w:val="FFFFFF"/>
      </w:rPr>
      <w:tcPr>
        <w:tcBorders>
          <w:top w:val="single" w:color="FFFFFF" w:sz="4" w:space="0"/>
          <w:left w:val="nil"/>
          <w:bottom w:val="single" w:color="FFFFFF" w:sz="4" w:space="0"/>
          <w:right w:val="single" w:color="FFFFFF" w:sz="4" w:space="0"/>
          <w:insideH w:val="nil"/>
          <w:insideV w:val="nil"/>
          <w:tl2br w:val="nil"/>
          <w:tr2bl w:val="nil"/>
        </w:tcBorders>
        <w:shd w:val="clear" w:color="auto" w:fill="000000"/>
      </w:tcPr>
    </w:tblStylePr>
    <w:tblStylePr w:type="band1Vert">
      <w:tcPr>
        <w:shd w:val="clear" w:color="auto" w:fill="999999"/>
      </w:tcPr>
    </w:tblStylePr>
    <w:tblStylePr w:type="band1Horz">
      <w:tcPr>
        <w:shd w:val="clear" w:color="auto" w:fill="999999"/>
      </w:tcPr>
    </w:tblStylePr>
  </w:style>
  <w:style w:type="table" w:customStyle="1" w:styleId="88">
    <w:name w:val="网格表 41"/>
    <w:basedOn w:val="33"/>
    <w:autoRedefine/>
    <w:qFormat/>
    <w:uiPriority w:val="49"/>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color w:val="FFFFFF"/>
      </w:rPr>
      <w:tcPr>
        <w:tcBorders>
          <w:top w:val="single" w:color="000000" w:sz="4" w:space="0"/>
          <w:left w:val="single" w:color="000000" w:sz="4" w:space="0"/>
          <w:bottom w:val="single" w:color="000000" w:sz="4" w:space="0"/>
          <w:right w:val="single" w:color="000000" w:sz="4" w:space="0"/>
          <w:insideH w:val="nil"/>
          <w:insideV w:val="nil"/>
          <w:tl2br w:val="nil"/>
          <w:tr2bl w:val="nil"/>
        </w:tcBorders>
        <w:shd w:val="clear" w:color="auto" w:fill="000000"/>
      </w:tcPr>
    </w:tblStylePr>
    <w:tblStylePr w:type="lastRow">
      <w:rPr>
        <w:b/>
        <w:bCs/>
      </w:rPr>
      <w:tcPr>
        <w:tcBorders>
          <w:top w:val="double" w:color="000000"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character" w:customStyle="1" w:styleId="89">
    <w:name w:val="font11"/>
    <w:basedOn w:val="36"/>
    <w:autoRedefine/>
    <w:qFormat/>
    <w:uiPriority w:val="0"/>
    <w:rPr>
      <w:rFonts w:hint="eastAsia" w:ascii="宋体" w:hAnsi="宋体" w:eastAsia="宋体" w:cs="宋体"/>
      <w:b/>
      <w:color w:val="000000"/>
      <w:sz w:val="28"/>
      <w:szCs w:val="28"/>
      <w:u w:val="none"/>
    </w:rPr>
  </w:style>
  <w:style w:type="character" w:customStyle="1" w:styleId="90">
    <w:name w:val="font01"/>
    <w:basedOn w:val="36"/>
    <w:autoRedefine/>
    <w:qFormat/>
    <w:uiPriority w:val="0"/>
    <w:rPr>
      <w:rFonts w:hint="eastAsia" w:ascii="宋体" w:hAnsi="宋体" w:eastAsia="宋体" w:cs="宋体"/>
      <w:color w:val="000000"/>
      <w:sz w:val="20"/>
      <w:szCs w:val="20"/>
      <w:u w:val="single"/>
    </w:rPr>
  </w:style>
  <w:style w:type="character" w:customStyle="1" w:styleId="91">
    <w:name w:val="font41"/>
    <w:basedOn w:val="36"/>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Company>
  <Pages>27</Pages>
  <Words>13268</Words>
  <Characters>14022</Characters>
  <Lines>92</Lines>
  <Paragraphs>25</Paragraphs>
  <TotalTime>1</TotalTime>
  <ScaleCrop>false</ScaleCrop>
  <LinksUpToDate>false</LinksUpToDate>
  <CharactersWithSpaces>14899</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2020-03-13T13:17:00Z</dcterms:created>
  <dc:creator>jujumao</dc:creator>
  <cp:lastModifiedBy>强文豪</cp:lastModifiedBy>
  <cp:lastPrinted>2024-05-08T01:47:00Z</cp:lastPrinted>
  <dcterms:modified xsi:type="dcterms:W3CDTF">2025-12-03T01:42:04Z</dcterms:modified>
  <dc:title>宝胜科技创新股份有限公司</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0F72A27C864B47479A17B6EB7076FFB9</vt:lpwstr>
  </property>
</Properties>
</file>